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18E77" w14:textId="1E77A16A" w:rsidR="00BD5ACA" w:rsidRDefault="003C3EC9" w:rsidP="00BD5ACA">
      <w:pPr>
        <w:spacing w:line="480" w:lineRule="auto"/>
        <w:rPr>
          <w:rFonts w:ascii="Arial" w:hAnsi="Arial"/>
          <w:b/>
          <w:sz w:val="28"/>
          <w:lang w:val="en-US"/>
        </w:rPr>
      </w:pPr>
      <w:r>
        <w:rPr>
          <w:rFonts w:ascii="Arial" w:hAnsi="Arial"/>
          <w:b/>
          <w:sz w:val="28"/>
          <w:lang w:val="en-US"/>
        </w:rPr>
        <w:tab/>
      </w:r>
    </w:p>
    <w:p w14:paraId="5AD54D8F" w14:textId="77777777" w:rsidR="0098227D" w:rsidRDefault="00E8219F" w:rsidP="00BD5ACA">
      <w:pPr>
        <w:spacing w:line="480" w:lineRule="auto"/>
        <w:jc w:val="center"/>
        <w:rPr>
          <w:rFonts w:ascii="Arial" w:hAnsi="Arial"/>
          <w:b/>
          <w:sz w:val="28"/>
          <w:lang w:val="en-US"/>
        </w:rPr>
      </w:pPr>
      <w:r>
        <w:rPr>
          <w:rFonts w:ascii="Arial" w:hAnsi="Arial"/>
          <w:b/>
          <w:sz w:val="28"/>
          <w:lang w:val="en-US"/>
        </w:rPr>
        <w:t>Role of LFA-1</w:t>
      </w:r>
      <w:r w:rsidR="00C6124A" w:rsidRPr="00C6124A">
        <w:rPr>
          <w:rFonts w:ascii="Arial" w:hAnsi="Arial"/>
          <w:b/>
          <w:sz w:val="28"/>
          <w:lang w:val="en-US"/>
        </w:rPr>
        <w:t xml:space="preserve"> integri</w:t>
      </w:r>
      <w:r w:rsidR="00BD5ACA">
        <w:rPr>
          <w:rFonts w:ascii="Arial" w:hAnsi="Arial"/>
          <w:b/>
          <w:sz w:val="28"/>
          <w:lang w:val="en-US"/>
        </w:rPr>
        <w:t>n</w:t>
      </w:r>
      <w:r>
        <w:rPr>
          <w:rFonts w:ascii="Arial" w:hAnsi="Arial"/>
          <w:b/>
          <w:sz w:val="28"/>
          <w:lang w:val="en-US"/>
        </w:rPr>
        <w:t xml:space="preserve"> </w:t>
      </w:r>
      <w:r w:rsidR="00C6124A" w:rsidRPr="00C6124A">
        <w:rPr>
          <w:rFonts w:ascii="Arial" w:hAnsi="Arial"/>
          <w:b/>
          <w:sz w:val="28"/>
          <w:lang w:val="en-US"/>
        </w:rPr>
        <w:t>in the control</w:t>
      </w:r>
    </w:p>
    <w:p w14:paraId="77155C1B" w14:textId="74B83BA6" w:rsidR="00C6124A" w:rsidRDefault="00C6124A" w:rsidP="00BD5ACA">
      <w:pPr>
        <w:spacing w:line="480" w:lineRule="auto"/>
        <w:jc w:val="center"/>
        <w:rPr>
          <w:rFonts w:ascii="Arial" w:hAnsi="Arial"/>
          <w:b/>
          <w:sz w:val="28"/>
          <w:lang w:val="en-US"/>
        </w:rPr>
      </w:pPr>
      <w:r w:rsidRPr="00C6124A">
        <w:rPr>
          <w:rFonts w:ascii="Arial" w:hAnsi="Arial"/>
          <w:b/>
          <w:sz w:val="28"/>
          <w:lang w:val="en-US"/>
        </w:rPr>
        <w:t xml:space="preserve">of a </w:t>
      </w:r>
      <w:r w:rsidR="0098227D">
        <w:rPr>
          <w:rFonts w:ascii="Arial" w:hAnsi="Arial"/>
          <w:b/>
          <w:sz w:val="28"/>
          <w:lang w:val="en-US"/>
        </w:rPr>
        <w:t>l</w:t>
      </w:r>
      <w:r w:rsidR="00F04024">
        <w:rPr>
          <w:rFonts w:ascii="Arial" w:hAnsi="Arial"/>
          <w:b/>
          <w:sz w:val="28"/>
          <w:lang w:val="en-US"/>
        </w:rPr>
        <w:t xml:space="preserve">ymphocytic </w:t>
      </w:r>
      <w:r w:rsidR="0098227D">
        <w:rPr>
          <w:rFonts w:ascii="Arial" w:hAnsi="Arial"/>
          <w:b/>
          <w:sz w:val="28"/>
          <w:lang w:val="en-US"/>
        </w:rPr>
        <w:t>c</w:t>
      </w:r>
      <w:r w:rsidR="00F04024">
        <w:rPr>
          <w:rFonts w:ascii="Arial" w:hAnsi="Arial"/>
          <w:b/>
          <w:sz w:val="28"/>
          <w:lang w:val="en-US"/>
        </w:rPr>
        <w:t xml:space="preserve">horiomeningitis </w:t>
      </w:r>
      <w:r w:rsidR="0098227D">
        <w:rPr>
          <w:rFonts w:ascii="Arial" w:hAnsi="Arial"/>
          <w:b/>
          <w:sz w:val="28"/>
          <w:lang w:val="en-US"/>
        </w:rPr>
        <w:t>v</w:t>
      </w:r>
      <w:r w:rsidR="00F04024">
        <w:rPr>
          <w:rFonts w:ascii="Arial" w:hAnsi="Arial"/>
          <w:b/>
          <w:sz w:val="28"/>
          <w:lang w:val="en-US"/>
        </w:rPr>
        <w:t>irus</w:t>
      </w:r>
      <w:r w:rsidR="0098227D">
        <w:rPr>
          <w:rFonts w:ascii="Arial" w:hAnsi="Arial"/>
          <w:b/>
          <w:sz w:val="28"/>
          <w:lang w:val="en-US"/>
        </w:rPr>
        <w:t xml:space="preserve"> (LCMV)</w:t>
      </w:r>
      <w:r w:rsidR="00F04024">
        <w:rPr>
          <w:rFonts w:ascii="Arial" w:hAnsi="Arial"/>
          <w:b/>
          <w:sz w:val="28"/>
          <w:lang w:val="en-US"/>
        </w:rPr>
        <w:t xml:space="preserve"> </w:t>
      </w:r>
      <w:r w:rsidRPr="00C6124A">
        <w:rPr>
          <w:rFonts w:ascii="Arial" w:hAnsi="Arial"/>
          <w:b/>
          <w:sz w:val="28"/>
          <w:lang w:val="en-US"/>
        </w:rPr>
        <w:t>infection</w:t>
      </w:r>
    </w:p>
    <w:p w14:paraId="7758D653" w14:textId="77777777" w:rsidR="00CF13D8" w:rsidRDefault="00CF13D8" w:rsidP="004A7692">
      <w:pPr>
        <w:spacing w:line="480" w:lineRule="auto"/>
        <w:jc w:val="both"/>
        <w:rPr>
          <w:rFonts w:ascii="Arial" w:hAnsi="Arial"/>
          <w:sz w:val="20"/>
          <w:szCs w:val="20"/>
          <w:lang w:val="en-US"/>
        </w:rPr>
      </w:pPr>
      <w:bookmarkStart w:id="0" w:name="_GoBack"/>
      <w:bookmarkEnd w:id="0"/>
    </w:p>
    <w:p w14:paraId="71D7BE04" w14:textId="549FCB48" w:rsidR="000D0525" w:rsidRPr="00D563BC" w:rsidRDefault="000D0525" w:rsidP="00D563BC">
      <w:pPr>
        <w:rPr>
          <w:rFonts w:ascii="Arial" w:hAnsi="Arial"/>
          <w:sz w:val="20"/>
          <w:szCs w:val="20"/>
          <w:lang w:val="en-US"/>
        </w:rPr>
      </w:pPr>
      <w:r w:rsidRPr="00F86885">
        <w:rPr>
          <w:rFonts w:ascii="Arial" w:hAnsi="Arial"/>
          <w:b/>
          <w:bCs/>
          <w:caps/>
          <w:sz w:val="32"/>
          <w:szCs w:val="22"/>
          <w:lang w:val="en-US"/>
        </w:rPr>
        <w:t>Supplementary Material</w:t>
      </w:r>
    </w:p>
    <w:p w14:paraId="7CA181AE" w14:textId="77777777" w:rsidR="000D0525" w:rsidRDefault="000D0525" w:rsidP="000D0525">
      <w:pPr>
        <w:rPr>
          <w:rFonts w:ascii="Arial" w:hAnsi="Arial"/>
          <w:b/>
          <w:sz w:val="22"/>
          <w:szCs w:val="22"/>
          <w:lang w:val="en-US"/>
        </w:rPr>
      </w:pPr>
    </w:p>
    <w:p w14:paraId="5AF8F582" w14:textId="1B509B77" w:rsidR="000D0525" w:rsidRDefault="000D0525" w:rsidP="000D0525">
      <w:pPr>
        <w:spacing w:line="480" w:lineRule="auto"/>
        <w:jc w:val="both"/>
        <w:rPr>
          <w:rFonts w:ascii="Arial" w:hAnsi="Arial"/>
          <w:b/>
          <w:sz w:val="28"/>
          <w:szCs w:val="28"/>
          <w:lang w:val="en-US"/>
        </w:rPr>
      </w:pPr>
      <w:r w:rsidRPr="00567CCF">
        <w:rPr>
          <w:rFonts w:ascii="Arial" w:hAnsi="Arial"/>
          <w:b/>
          <w:sz w:val="28"/>
          <w:szCs w:val="28"/>
          <w:lang w:val="en-US"/>
        </w:rPr>
        <w:t>SUPPLEMENTAL FIGURE</w:t>
      </w:r>
      <w:r>
        <w:rPr>
          <w:rFonts w:ascii="Arial" w:hAnsi="Arial"/>
          <w:b/>
          <w:sz w:val="28"/>
          <w:szCs w:val="28"/>
          <w:lang w:val="en-US"/>
        </w:rPr>
        <w:t>S</w:t>
      </w:r>
    </w:p>
    <w:p w14:paraId="7E68F4C6" w14:textId="3279F468" w:rsidR="00B276D5" w:rsidRDefault="00754B7E" w:rsidP="00B276D5">
      <w:pPr>
        <w:spacing w:line="480" w:lineRule="auto"/>
        <w:jc w:val="center"/>
        <w:rPr>
          <w:rFonts w:ascii="Arial" w:hAnsi="Arial"/>
          <w:b/>
          <w:sz w:val="28"/>
          <w:szCs w:val="28"/>
          <w:lang w:val="en-US"/>
        </w:rPr>
      </w:pPr>
      <w:r>
        <w:rPr>
          <w:rFonts w:ascii="Arial" w:hAnsi="Arial"/>
          <w:b/>
          <w:noProof/>
          <w:sz w:val="28"/>
          <w:szCs w:val="28"/>
          <w:lang w:val="en-IN" w:eastAsia="en-IN"/>
        </w:rPr>
        <w:drawing>
          <wp:inline distT="0" distB="0" distL="0" distR="0" wp14:anchorId="0BA1FA99" wp14:editId="346156D6">
            <wp:extent cx="6184900" cy="64443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1.png"/>
                    <pic:cNvPicPr/>
                  </pic:nvPicPr>
                  <pic:blipFill rotWithShape="1">
                    <a:blip r:embed="rId6"/>
                    <a:srcRect b="18230"/>
                    <a:stretch/>
                  </pic:blipFill>
                  <pic:spPr bwMode="auto">
                    <a:xfrm>
                      <a:off x="0" y="0"/>
                      <a:ext cx="6184900" cy="6444343"/>
                    </a:xfrm>
                    <a:prstGeom prst="rect">
                      <a:avLst/>
                    </a:prstGeom>
                    <a:ln>
                      <a:noFill/>
                    </a:ln>
                    <a:extLst>
                      <a:ext uri="{53640926-AAD7-44D8-BBD7-CCE9431645EC}">
                        <a14:shadowObscured xmlns:a14="http://schemas.microsoft.com/office/drawing/2010/main"/>
                      </a:ext>
                    </a:extLst>
                  </pic:spPr>
                </pic:pic>
              </a:graphicData>
            </a:graphic>
          </wp:inline>
        </w:drawing>
      </w:r>
    </w:p>
    <w:p w14:paraId="062DA1E1" w14:textId="77777777" w:rsidR="00A058D3" w:rsidRDefault="00B276D5" w:rsidP="00B276D5">
      <w:pPr>
        <w:spacing w:line="480" w:lineRule="auto"/>
        <w:jc w:val="both"/>
        <w:rPr>
          <w:rFonts w:ascii="Arial" w:hAnsi="Arial"/>
          <w:b/>
          <w:sz w:val="18"/>
          <w:szCs w:val="18"/>
          <w:lang w:val="en-US"/>
        </w:rPr>
      </w:pPr>
      <w:r w:rsidRPr="00B276D5">
        <w:rPr>
          <w:rFonts w:ascii="Arial" w:hAnsi="Arial"/>
          <w:b/>
          <w:sz w:val="18"/>
          <w:szCs w:val="18"/>
          <w:lang w:val="en-US"/>
        </w:rPr>
        <w:t xml:space="preserve">Figure S1. </w:t>
      </w:r>
      <w:r>
        <w:rPr>
          <w:rFonts w:ascii="Arial" w:hAnsi="Arial"/>
          <w:b/>
          <w:sz w:val="18"/>
          <w:szCs w:val="18"/>
          <w:lang w:val="en-US"/>
        </w:rPr>
        <w:t xml:space="preserve">Impact of anti-LFA1 Mab treatment </w:t>
      </w:r>
      <w:r w:rsidR="00A058D3">
        <w:rPr>
          <w:rFonts w:ascii="Arial" w:hAnsi="Arial"/>
          <w:b/>
          <w:sz w:val="18"/>
          <w:szCs w:val="18"/>
          <w:lang w:val="en-US"/>
        </w:rPr>
        <w:t>in</w:t>
      </w:r>
      <w:r>
        <w:rPr>
          <w:rFonts w:ascii="Arial" w:hAnsi="Arial"/>
          <w:b/>
          <w:sz w:val="18"/>
          <w:szCs w:val="18"/>
          <w:lang w:val="en-US"/>
        </w:rPr>
        <w:t xml:space="preserve"> </w:t>
      </w:r>
      <w:r w:rsidR="00A058D3">
        <w:rPr>
          <w:rFonts w:ascii="Arial" w:hAnsi="Arial"/>
          <w:b/>
          <w:sz w:val="18"/>
          <w:szCs w:val="18"/>
          <w:lang w:val="en-US"/>
        </w:rPr>
        <w:t>non-infected mice.</w:t>
      </w:r>
    </w:p>
    <w:p w14:paraId="63C757F4" w14:textId="04C1C4C3" w:rsidR="00A058D3" w:rsidRDefault="00A058D3" w:rsidP="00B276D5">
      <w:pPr>
        <w:spacing w:line="480" w:lineRule="auto"/>
        <w:jc w:val="both"/>
        <w:rPr>
          <w:rFonts w:ascii="Arial" w:hAnsi="Arial"/>
          <w:sz w:val="18"/>
          <w:szCs w:val="18"/>
          <w:lang w:val="en-US"/>
        </w:rPr>
      </w:pPr>
      <w:r w:rsidRPr="00A058D3">
        <w:rPr>
          <w:rFonts w:ascii="Arial" w:hAnsi="Arial"/>
          <w:sz w:val="18"/>
          <w:szCs w:val="18"/>
          <w:lang w:val="en-US"/>
        </w:rPr>
        <w:lastRenderedPageBreak/>
        <w:t>(a)</w:t>
      </w:r>
      <w:r>
        <w:rPr>
          <w:rFonts w:ascii="Arial" w:hAnsi="Arial"/>
          <w:b/>
          <w:sz w:val="18"/>
          <w:szCs w:val="18"/>
          <w:lang w:val="en-US"/>
        </w:rPr>
        <w:t xml:space="preserve"> </w:t>
      </w:r>
      <w:r w:rsidRPr="00A058D3">
        <w:rPr>
          <w:rFonts w:ascii="Arial" w:hAnsi="Arial"/>
          <w:sz w:val="18"/>
          <w:szCs w:val="18"/>
          <w:lang w:val="en-US"/>
        </w:rPr>
        <w:t>C57Bl/6 mice were treated with 200</w:t>
      </w:r>
      <w:r w:rsidRPr="00A058D3">
        <w:rPr>
          <w:rFonts w:ascii="Symbol" w:hAnsi="Symbol"/>
          <w:sz w:val="18"/>
          <w:szCs w:val="18"/>
          <w:lang w:val="en-US"/>
        </w:rPr>
        <w:t></w:t>
      </w:r>
      <w:r w:rsidRPr="00A058D3">
        <w:rPr>
          <w:rFonts w:ascii="Arial" w:hAnsi="Arial"/>
          <w:sz w:val="18"/>
          <w:szCs w:val="18"/>
          <w:lang w:val="en-US"/>
        </w:rPr>
        <w:t>g anti-LFA-1 Mab (</w:t>
      </w:r>
      <w:r>
        <w:rPr>
          <w:rFonts w:ascii="Arial" w:hAnsi="Arial"/>
          <w:sz w:val="18"/>
          <w:szCs w:val="18"/>
          <w:lang w:val="en-US"/>
        </w:rPr>
        <w:t>BioXcell</w:t>
      </w:r>
      <w:r w:rsidR="00DE0D80">
        <w:rPr>
          <w:rFonts w:ascii="Arial" w:hAnsi="Arial"/>
          <w:sz w:val="18"/>
          <w:szCs w:val="18"/>
          <w:lang w:val="en-US"/>
        </w:rPr>
        <w:t>,</w:t>
      </w:r>
      <w:r>
        <w:rPr>
          <w:rFonts w:ascii="Arial" w:hAnsi="Arial"/>
          <w:sz w:val="18"/>
          <w:szCs w:val="18"/>
          <w:lang w:val="en-US"/>
        </w:rPr>
        <w:t xml:space="preserve"> clone</w:t>
      </w:r>
      <w:r w:rsidRPr="00A058D3">
        <w:rPr>
          <w:rFonts w:ascii="Arial" w:hAnsi="Arial"/>
          <w:sz w:val="18"/>
          <w:szCs w:val="18"/>
          <w:lang w:val="en-US"/>
        </w:rPr>
        <w:t xml:space="preserve"> M17/4) </w:t>
      </w:r>
      <w:r>
        <w:rPr>
          <w:rFonts w:ascii="Arial" w:hAnsi="Arial"/>
          <w:sz w:val="18"/>
          <w:szCs w:val="18"/>
          <w:lang w:val="en-US"/>
        </w:rPr>
        <w:t>every</w:t>
      </w:r>
      <w:r w:rsidRPr="00A058D3">
        <w:rPr>
          <w:rFonts w:ascii="Arial" w:hAnsi="Arial"/>
          <w:sz w:val="18"/>
          <w:szCs w:val="18"/>
          <w:lang w:val="en-US"/>
        </w:rPr>
        <w:t xml:space="preserve"> 2 days for </w:t>
      </w:r>
      <w:r>
        <w:rPr>
          <w:rFonts w:ascii="Arial" w:hAnsi="Arial"/>
          <w:sz w:val="18"/>
          <w:szCs w:val="18"/>
          <w:lang w:val="en-US"/>
        </w:rPr>
        <w:t xml:space="preserve">8 </w:t>
      </w:r>
      <w:r w:rsidRPr="00A058D3">
        <w:rPr>
          <w:rFonts w:ascii="Arial" w:hAnsi="Arial"/>
          <w:sz w:val="18"/>
          <w:szCs w:val="18"/>
          <w:lang w:val="en-US"/>
        </w:rPr>
        <w:t>consecutive days.</w:t>
      </w:r>
      <w:r>
        <w:rPr>
          <w:rFonts w:ascii="Arial" w:hAnsi="Arial"/>
          <w:sz w:val="18"/>
          <w:szCs w:val="18"/>
          <w:lang w:val="en-US"/>
        </w:rPr>
        <w:t xml:space="preserve"> During anti-LFA1 </w:t>
      </w:r>
      <w:r w:rsidR="00DE0D80">
        <w:rPr>
          <w:rFonts w:ascii="Arial" w:hAnsi="Arial"/>
          <w:sz w:val="18"/>
          <w:szCs w:val="18"/>
          <w:lang w:val="en-US"/>
        </w:rPr>
        <w:t xml:space="preserve">Mab </w:t>
      </w:r>
      <w:r>
        <w:rPr>
          <w:rFonts w:ascii="Arial" w:hAnsi="Arial"/>
          <w:sz w:val="18"/>
          <w:szCs w:val="18"/>
          <w:lang w:val="en-US"/>
        </w:rPr>
        <w:t xml:space="preserve">treatment blood CD8+ T cells were isolated and their numbers (b) and expression levels of LFA-1 were quantified by flow cytometry (c,d). In order to detect the amount of free LFA-1 molecules in CD8 T cell isolated from anti-LFA1 treated mice we performed an antibody staining with the same clone (M17/4) that was used for treatment. As a control we used day 9 LFA1-/- </w:t>
      </w:r>
      <w:r w:rsidR="00B05D7B">
        <w:rPr>
          <w:rFonts w:ascii="Arial" w:hAnsi="Arial"/>
          <w:sz w:val="18"/>
          <w:szCs w:val="18"/>
          <w:lang w:val="en-US"/>
        </w:rPr>
        <w:t>P14 T</w:t>
      </w:r>
      <w:r w:rsidR="00B05D7B" w:rsidRPr="00A058D3">
        <w:rPr>
          <w:rFonts w:ascii="Arial" w:hAnsi="Arial"/>
          <w:sz w:val="18"/>
          <w:szCs w:val="18"/>
          <w:vertAlign w:val="subscript"/>
          <w:lang w:val="en-US"/>
        </w:rPr>
        <w:t>EFF</w:t>
      </w:r>
      <w:r w:rsidR="00B05D7B">
        <w:rPr>
          <w:rFonts w:ascii="Arial" w:hAnsi="Arial"/>
          <w:sz w:val="18"/>
          <w:szCs w:val="18"/>
          <w:lang w:val="en-US"/>
        </w:rPr>
        <w:t xml:space="preserve"> </w:t>
      </w:r>
      <w:r>
        <w:rPr>
          <w:rFonts w:ascii="Arial" w:hAnsi="Arial"/>
          <w:sz w:val="18"/>
          <w:szCs w:val="18"/>
          <w:lang w:val="en-US"/>
        </w:rPr>
        <w:t xml:space="preserve">isolated from </w:t>
      </w:r>
      <w:r w:rsidR="00065FB9">
        <w:rPr>
          <w:rFonts w:ascii="Arial" w:hAnsi="Arial"/>
          <w:sz w:val="18"/>
          <w:szCs w:val="18"/>
          <w:lang w:val="en-US"/>
        </w:rPr>
        <w:t>LCMV-C</w:t>
      </w:r>
      <w:r w:rsidR="003524F5">
        <w:rPr>
          <w:rFonts w:ascii="Arial" w:hAnsi="Arial"/>
          <w:sz w:val="18"/>
          <w:szCs w:val="18"/>
          <w:lang w:val="en-US"/>
        </w:rPr>
        <w:t>L</w:t>
      </w:r>
      <w:r w:rsidR="00065FB9">
        <w:rPr>
          <w:rFonts w:ascii="Arial" w:hAnsi="Arial"/>
          <w:sz w:val="18"/>
          <w:szCs w:val="18"/>
          <w:lang w:val="en-US"/>
        </w:rPr>
        <w:t>13</w:t>
      </w:r>
      <w:r>
        <w:rPr>
          <w:rFonts w:ascii="Arial" w:hAnsi="Arial"/>
          <w:sz w:val="18"/>
          <w:szCs w:val="18"/>
          <w:lang w:val="en-US"/>
        </w:rPr>
        <w:t xml:space="preserve"> mice.</w:t>
      </w:r>
    </w:p>
    <w:p w14:paraId="0300EF33" w14:textId="0CE7A580" w:rsidR="00732442" w:rsidRDefault="00732442" w:rsidP="00B276D5">
      <w:pPr>
        <w:spacing w:line="480" w:lineRule="auto"/>
        <w:jc w:val="both"/>
        <w:rPr>
          <w:rFonts w:ascii="Arial" w:hAnsi="Arial"/>
          <w:sz w:val="18"/>
          <w:szCs w:val="18"/>
          <w:lang w:val="en-US"/>
        </w:rPr>
      </w:pPr>
    </w:p>
    <w:p w14:paraId="73238F63" w14:textId="1EFE195D" w:rsidR="00732442" w:rsidRPr="00D020B9" w:rsidRDefault="004D5C5F" w:rsidP="00732442">
      <w:pPr>
        <w:spacing w:line="480" w:lineRule="auto"/>
        <w:jc w:val="center"/>
        <w:rPr>
          <w:rFonts w:ascii="Arial" w:hAnsi="Arial"/>
          <w:b/>
          <w:sz w:val="22"/>
          <w:szCs w:val="22"/>
          <w:lang w:val="en-US"/>
        </w:rPr>
      </w:pPr>
      <w:r>
        <w:rPr>
          <w:rFonts w:ascii="Arial" w:hAnsi="Arial"/>
          <w:b/>
          <w:noProof/>
          <w:sz w:val="22"/>
          <w:szCs w:val="22"/>
          <w:lang w:val="en-IN" w:eastAsia="en-IN"/>
        </w:rPr>
        <w:drawing>
          <wp:inline distT="0" distB="0" distL="0" distR="0" wp14:anchorId="151FC4ED" wp14:editId="59D3DE96">
            <wp:extent cx="6184900" cy="33818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2.png"/>
                    <pic:cNvPicPr/>
                  </pic:nvPicPr>
                  <pic:blipFill rotWithShape="1">
                    <a:blip r:embed="rId7"/>
                    <a:srcRect b="51655"/>
                    <a:stretch/>
                  </pic:blipFill>
                  <pic:spPr bwMode="auto">
                    <a:xfrm>
                      <a:off x="0" y="0"/>
                      <a:ext cx="6184900" cy="3381828"/>
                    </a:xfrm>
                    <a:prstGeom prst="rect">
                      <a:avLst/>
                    </a:prstGeom>
                    <a:ln>
                      <a:noFill/>
                    </a:ln>
                    <a:extLst>
                      <a:ext uri="{53640926-AAD7-44D8-BBD7-CCE9431645EC}">
                        <a14:shadowObscured xmlns:a14="http://schemas.microsoft.com/office/drawing/2010/main"/>
                      </a:ext>
                    </a:extLst>
                  </pic:spPr>
                </pic:pic>
              </a:graphicData>
            </a:graphic>
          </wp:inline>
        </w:drawing>
      </w:r>
    </w:p>
    <w:p w14:paraId="3640B28A" w14:textId="52E36865" w:rsidR="00732442" w:rsidRPr="00732442" w:rsidRDefault="00732442" w:rsidP="00732442">
      <w:pPr>
        <w:spacing w:line="480" w:lineRule="auto"/>
        <w:jc w:val="both"/>
        <w:rPr>
          <w:rFonts w:ascii="Arial" w:hAnsi="Arial"/>
          <w:sz w:val="18"/>
          <w:szCs w:val="18"/>
          <w:lang w:val="en-US"/>
        </w:rPr>
      </w:pPr>
      <w:r w:rsidRPr="00732442">
        <w:rPr>
          <w:rFonts w:ascii="Arial" w:hAnsi="Arial" w:cs="Verdana"/>
          <w:b/>
          <w:sz w:val="18"/>
          <w:szCs w:val="18"/>
          <w:lang w:val="en-US"/>
        </w:rPr>
        <w:t>Figure S2.</w:t>
      </w:r>
      <w:r w:rsidRPr="00732442">
        <w:rPr>
          <w:rFonts w:ascii="Arial" w:hAnsi="Arial"/>
          <w:b/>
          <w:sz w:val="18"/>
          <w:szCs w:val="18"/>
          <w:lang w:val="en-US"/>
        </w:rPr>
        <w:t xml:space="preserve"> Impact of anti-LFA-1 </w:t>
      </w:r>
      <w:r w:rsidR="00031398">
        <w:rPr>
          <w:rFonts w:ascii="Arial" w:hAnsi="Arial"/>
          <w:b/>
          <w:sz w:val="18"/>
          <w:szCs w:val="18"/>
          <w:lang w:val="en-US"/>
        </w:rPr>
        <w:t xml:space="preserve">Mab </w:t>
      </w:r>
      <w:r w:rsidRPr="00732442">
        <w:rPr>
          <w:rFonts w:ascii="Arial" w:hAnsi="Arial"/>
          <w:b/>
          <w:sz w:val="18"/>
          <w:szCs w:val="18"/>
          <w:lang w:val="en-US"/>
        </w:rPr>
        <w:t>antibody treatment on disease and control of LCMV</w:t>
      </w:r>
      <w:r w:rsidR="00062741">
        <w:rPr>
          <w:rFonts w:ascii="Arial" w:hAnsi="Arial"/>
          <w:b/>
          <w:sz w:val="18"/>
          <w:szCs w:val="18"/>
          <w:lang w:val="en-US"/>
        </w:rPr>
        <w:t>-</w:t>
      </w:r>
      <w:r w:rsidRPr="00732442">
        <w:rPr>
          <w:rFonts w:ascii="Arial" w:hAnsi="Arial"/>
          <w:b/>
          <w:sz w:val="18"/>
          <w:szCs w:val="18"/>
          <w:lang w:val="en-US"/>
        </w:rPr>
        <w:t>C</w:t>
      </w:r>
      <w:r w:rsidR="00062741">
        <w:rPr>
          <w:rFonts w:ascii="Arial" w:hAnsi="Arial"/>
          <w:b/>
          <w:sz w:val="18"/>
          <w:szCs w:val="18"/>
          <w:lang w:val="en-US"/>
        </w:rPr>
        <w:t>L</w:t>
      </w:r>
      <w:r w:rsidRPr="00732442">
        <w:rPr>
          <w:rFonts w:ascii="Arial" w:hAnsi="Arial"/>
          <w:b/>
          <w:sz w:val="18"/>
          <w:szCs w:val="18"/>
          <w:lang w:val="en-US"/>
        </w:rPr>
        <w:t xml:space="preserve">13 </w:t>
      </w:r>
      <w:r w:rsidR="002F7F0B">
        <w:rPr>
          <w:rFonts w:ascii="Arial" w:hAnsi="Arial"/>
          <w:b/>
          <w:sz w:val="18"/>
          <w:szCs w:val="18"/>
          <w:lang w:val="en-US"/>
        </w:rPr>
        <w:t>viremia</w:t>
      </w:r>
      <w:r w:rsidRPr="00732442">
        <w:rPr>
          <w:rFonts w:ascii="Arial" w:hAnsi="Arial"/>
          <w:b/>
          <w:sz w:val="18"/>
          <w:szCs w:val="18"/>
          <w:lang w:val="en-US"/>
        </w:rPr>
        <w:t xml:space="preserve">. </w:t>
      </w:r>
      <w:r w:rsidRPr="00732442">
        <w:rPr>
          <w:rFonts w:ascii="Arial" w:hAnsi="Arial"/>
          <w:sz w:val="18"/>
          <w:szCs w:val="18"/>
          <w:lang w:val="en-US"/>
        </w:rPr>
        <w:t>(a) Monitoring of weight loss during LCMV-C</w:t>
      </w:r>
      <w:r w:rsidR="00062741">
        <w:rPr>
          <w:rFonts w:ascii="Arial" w:hAnsi="Arial"/>
          <w:sz w:val="18"/>
          <w:szCs w:val="18"/>
          <w:lang w:val="en-US"/>
        </w:rPr>
        <w:t>L</w:t>
      </w:r>
      <w:r w:rsidRPr="00732442">
        <w:rPr>
          <w:rFonts w:ascii="Arial" w:hAnsi="Arial"/>
          <w:sz w:val="18"/>
          <w:szCs w:val="18"/>
          <w:lang w:val="en-US"/>
        </w:rPr>
        <w:t>13 infection. (b) LCMV viral titers were determined by plaque assay in in several organs at day 30 post-infection for LCMV-C</w:t>
      </w:r>
      <w:r w:rsidR="00062741">
        <w:rPr>
          <w:rFonts w:ascii="Arial" w:hAnsi="Arial"/>
          <w:sz w:val="18"/>
          <w:szCs w:val="18"/>
          <w:lang w:val="en-US"/>
        </w:rPr>
        <w:t>L</w:t>
      </w:r>
      <w:r w:rsidRPr="00732442">
        <w:rPr>
          <w:rFonts w:ascii="Arial" w:hAnsi="Arial"/>
          <w:sz w:val="18"/>
          <w:szCs w:val="18"/>
          <w:lang w:val="en-US"/>
        </w:rPr>
        <w:t>13 infected mice.</w:t>
      </w:r>
      <w:r w:rsidR="00D20E28">
        <w:rPr>
          <w:rFonts w:ascii="Arial" w:hAnsi="Arial"/>
          <w:sz w:val="18"/>
          <w:szCs w:val="18"/>
          <w:lang w:val="en-US"/>
        </w:rPr>
        <w:t xml:space="preserve"> Detection limit 100pfu.</w:t>
      </w:r>
    </w:p>
    <w:p w14:paraId="6B0E2F6C" w14:textId="099D1B1E" w:rsidR="00732442" w:rsidRDefault="00732442" w:rsidP="00732442">
      <w:pPr>
        <w:spacing w:line="480" w:lineRule="auto"/>
        <w:jc w:val="both"/>
        <w:rPr>
          <w:rFonts w:ascii="Arial" w:hAnsi="Arial"/>
          <w:sz w:val="18"/>
          <w:szCs w:val="18"/>
          <w:lang w:val="en-US"/>
        </w:rPr>
      </w:pPr>
      <w:r w:rsidRPr="00732442">
        <w:rPr>
          <w:rFonts w:ascii="Arial" w:hAnsi="Arial"/>
          <w:sz w:val="18"/>
          <w:szCs w:val="18"/>
          <w:lang w:val="en-US"/>
        </w:rPr>
        <w:t>* p&lt;0.05, ** p&lt;0.001, *** p&lt;0.0001. Error bars represent mean</w:t>
      </w:r>
      <w:r w:rsidRPr="00732442">
        <w:rPr>
          <w:rFonts w:ascii="MS Gothic" w:eastAsia="MS Gothic"/>
          <w:color w:val="000000"/>
          <w:sz w:val="18"/>
          <w:szCs w:val="18"/>
          <w:lang w:val="en-US"/>
        </w:rPr>
        <w:t>±</w:t>
      </w:r>
      <w:r w:rsidRPr="00732442">
        <w:rPr>
          <w:rFonts w:ascii="Arial" w:hAnsi="Arial"/>
          <w:sz w:val="18"/>
          <w:szCs w:val="18"/>
          <w:lang w:val="en-US"/>
        </w:rPr>
        <w:t>SEM. Three independent experiments including 3 mice per group were performed with similar results.</w:t>
      </w:r>
    </w:p>
    <w:p w14:paraId="6B260FAF" w14:textId="23A2EB29" w:rsidR="00AA1E14" w:rsidRDefault="00E03BC2" w:rsidP="00444D34">
      <w:pPr>
        <w:spacing w:line="480" w:lineRule="auto"/>
        <w:jc w:val="center"/>
        <w:rPr>
          <w:rFonts w:ascii="Arial" w:hAnsi="Arial"/>
          <w:sz w:val="18"/>
          <w:szCs w:val="18"/>
          <w:lang w:val="en-US"/>
        </w:rPr>
      </w:pPr>
      <w:r>
        <w:rPr>
          <w:rFonts w:ascii="Arial" w:hAnsi="Arial"/>
          <w:noProof/>
          <w:sz w:val="18"/>
          <w:szCs w:val="18"/>
          <w:lang w:val="en-IN" w:eastAsia="en-IN"/>
        </w:rPr>
        <w:lastRenderedPageBreak/>
        <w:drawing>
          <wp:inline distT="0" distB="0" distL="0" distR="0" wp14:anchorId="3C2437D2" wp14:editId="0B64B40C">
            <wp:extent cx="5547976" cy="789577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S4.png"/>
                    <pic:cNvPicPr/>
                  </pic:nvPicPr>
                  <pic:blipFill rotWithShape="1">
                    <a:blip r:embed="rId8"/>
                    <a:srcRect b="1899"/>
                    <a:stretch/>
                  </pic:blipFill>
                  <pic:spPr bwMode="auto">
                    <a:xfrm>
                      <a:off x="0" y="0"/>
                      <a:ext cx="5555349" cy="7906264"/>
                    </a:xfrm>
                    <a:prstGeom prst="rect">
                      <a:avLst/>
                    </a:prstGeom>
                    <a:ln>
                      <a:noFill/>
                    </a:ln>
                    <a:extLst>
                      <a:ext uri="{53640926-AAD7-44D8-BBD7-CCE9431645EC}">
                        <a14:shadowObscured xmlns:a14="http://schemas.microsoft.com/office/drawing/2010/main"/>
                      </a:ext>
                    </a:extLst>
                  </pic:spPr>
                </pic:pic>
              </a:graphicData>
            </a:graphic>
          </wp:inline>
        </w:drawing>
      </w:r>
    </w:p>
    <w:p w14:paraId="32D88271" w14:textId="279E0B41" w:rsidR="00AA1E14" w:rsidRDefault="00AA1E14" w:rsidP="00AA1E14">
      <w:pPr>
        <w:spacing w:line="480" w:lineRule="auto"/>
        <w:jc w:val="center"/>
        <w:rPr>
          <w:rFonts w:ascii="Arial" w:hAnsi="Arial"/>
          <w:sz w:val="18"/>
          <w:szCs w:val="18"/>
          <w:lang w:val="en-US"/>
        </w:rPr>
      </w:pPr>
    </w:p>
    <w:p w14:paraId="0D7C1902" w14:textId="45C7FCD3" w:rsidR="009A1097" w:rsidRDefault="009A1097" w:rsidP="009A1097">
      <w:pPr>
        <w:spacing w:line="480" w:lineRule="auto"/>
        <w:jc w:val="both"/>
        <w:rPr>
          <w:rFonts w:ascii="Arial" w:hAnsi="Arial"/>
          <w:b/>
          <w:sz w:val="18"/>
          <w:szCs w:val="18"/>
          <w:lang w:val="en-US"/>
        </w:rPr>
      </w:pPr>
      <w:r w:rsidRPr="001C3407">
        <w:rPr>
          <w:rFonts w:ascii="Arial" w:hAnsi="Arial" w:cs="Verdana"/>
          <w:b/>
          <w:sz w:val="18"/>
          <w:szCs w:val="18"/>
          <w:lang w:val="en-US"/>
        </w:rPr>
        <w:t>Figure S</w:t>
      </w:r>
      <w:r>
        <w:rPr>
          <w:rFonts w:ascii="Arial" w:hAnsi="Arial" w:cs="Verdana"/>
          <w:b/>
          <w:sz w:val="18"/>
          <w:szCs w:val="18"/>
          <w:lang w:val="en-US"/>
        </w:rPr>
        <w:t>3</w:t>
      </w:r>
      <w:r w:rsidRPr="001C3407">
        <w:rPr>
          <w:rFonts w:ascii="Arial" w:hAnsi="Arial" w:cs="Verdana"/>
          <w:b/>
          <w:sz w:val="18"/>
          <w:szCs w:val="18"/>
          <w:lang w:val="en-US"/>
        </w:rPr>
        <w:t>.</w:t>
      </w:r>
      <w:r w:rsidRPr="001C3407">
        <w:rPr>
          <w:rFonts w:ascii="Arial" w:hAnsi="Arial"/>
          <w:b/>
          <w:sz w:val="18"/>
          <w:szCs w:val="18"/>
          <w:lang w:val="en-US"/>
        </w:rPr>
        <w:t xml:space="preserve"> Impact of LFA-1 deficiency in T</w:t>
      </w:r>
      <w:r w:rsidRPr="001C3407">
        <w:rPr>
          <w:rFonts w:ascii="Arial" w:hAnsi="Arial"/>
          <w:b/>
          <w:sz w:val="18"/>
          <w:szCs w:val="18"/>
          <w:vertAlign w:val="subscript"/>
          <w:lang w:val="en-US"/>
        </w:rPr>
        <w:t>EFF</w:t>
      </w:r>
      <w:r w:rsidRPr="001C3407">
        <w:rPr>
          <w:rFonts w:ascii="Arial" w:hAnsi="Arial"/>
          <w:b/>
          <w:sz w:val="18"/>
          <w:szCs w:val="18"/>
          <w:lang w:val="en-US"/>
        </w:rPr>
        <w:t xml:space="preserve"> differentiation after LCMV</w:t>
      </w:r>
      <w:r w:rsidR="00444D34">
        <w:rPr>
          <w:rFonts w:ascii="Arial" w:hAnsi="Arial"/>
          <w:b/>
          <w:sz w:val="18"/>
          <w:szCs w:val="18"/>
          <w:lang w:val="en-US"/>
        </w:rPr>
        <w:t>-</w:t>
      </w:r>
      <w:r w:rsidRPr="001C3407">
        <w:rPr>
          <w:rFonts w:ascii="Arial" w:hAnsi="Arial"/>
          <w:b/>
          <w:sz w:val="18"/>
          <w:szCs w:val="18"/>
          <w:lang w:val="en-US"/>
        </w:rPr>
        <w:t>CL13 infection.</w:t>
      </w:r>
    </w:p>
    <w:p w14:paraId="6CD80E9B" w14:textId="04E66172" w:rsidR="009A1097" w:rsidRPr="001C3407" w:rsidRDefault="009A1097" w:rsidP="009A1097">
      <w:pPr>
        <w:spacing w:line="480" w:lineRule="auto"/>
        <w:jc w:val="both"/>
        <w:rPr>
          <w:rFonts w:ascii="Arial" w:hAnsi="Arial"/>
          <w:sz w:val="18"/>
          <w:szCs w:val="18"/>
          <w:lang w:val="en-US"/>
        </w:rPr>
      </w:pPr>
      <w:r w:rsidRPr="001C3407">
        <w:rPr>
          <w:rFonts w:ascii="Arial" w:hAnsi="Arial"/>
          <w:sz w:val="18"/>
          <w:szCs w:val="18"/>
          <w:lang w:val="en-US"/>
        </w:rPr>
        <w:t>(a,b) Surface expression of KLRG1, IL7R</w:t>
      </w:r>
      <w:r w:rsidRPr="00444D34">
        <w:rPr>
          <w:rFonts w:ascii="Symbol" w:hAnsi="Symbol"/>
          <w:sz w:val="18"/>
          <w:szCs w:val="18"/>
          <w:lang w:val="en-US"/>
        </w:rPr>
        <w:t></w:t>
      </w:r>
      <w:r w:rsidRPr="001C3407">
        <w:rPr>
          <w:rFonts w:ascii="Arial" w:hAnsi="Arial"/>
          <w:sz w:val="18"/>
          <w:szCs w:val="18"/>
          <w:lang w:val="en-US"/>
        </w:rPr>
        <w:t>, CD27 and CD62L was evaluated in the WT and LFA1</w:t>
      </w:r>
      <w:r w:rsidRPr="001C3407">
        <w:rPr>
          <w:rFonts w:ascii="Arial" w:hAnsi="Arial"/>
          <w:sz w:val="18"/>
          <w:szCs w:val="18"/>
          <w:vertAlign w:val="superscript"/>
          <w:lang w:val="en-US"/>
        </w:rPr>
        <w:t>-/-</w:t>
      </w:r>
      <w:r w:rsidRPr="001C3407">
        <w:rPr>
          <w:rFonts w:ascii="Arial" w:hAnsi="Arial"/>
          <w:sz w:val="18"/>
          <w:szCs w:val="18"/>
          <w:lang w:val="en-US"/>
        </w:rPr>
        <w:t xml:space="preserve"> P14 T</w:t>
      </w:r>
      <w:r w:rsidRPr="001C3407">
        <w:rPr>
          <w:rFonts w:ascii="Arial" w:hAnsi="Arial"/>
          <w:sz w:val="18"/>
          <w:szCs w:val="18"/>
          <w:vertAlign w:val="subscript"/>
          <w:lang w:val="en-US"/>
        </w:rPr>
        <w:t>EFF</w:t>
      </w:r>
      <w:r w:rsidRPr="001C3407">
        <w:rPr>
          <w:rFonts w:ascii="Arial" w:hAnsi="Arial"/>
          <w:sz w:val="18"/>
          <w:szCs w:val="18"/>
          <w:lang w:val="en-US"/>
        </w:rPr>
        <w:t xml:space="preserve"> from different organs at the day 9 p.i. with (5x10</w:t>
      </w:r>
      <w:r w:rsidRPr="001C3407">
        <w:rPr>
          <w:rFonts w:ascii="Arial" w:hAnsi="Arial"/>
          <w:sz w:val="18"/>
          <w:szCs w:val="18"/>
          <w:vertAlign w:val="superscript"/>
          <w:lang w:val="en-US"/>
        </w:rPr>
        <w:t>4</w:t>
      </w:r>
      <w:r w:rsidRPr="001C3407">
        <w:rPr>
          <w:rFonts w:ascii="Arial" w:hAnsi="Arial"/>
          <w:sz w:val="18"/>
          <w:szCs w:val="18"/>
          <w:lang w:val="en-US"/>
        </w:rPr>
        <w:t>pfu) LCMV</w:t>
      </w:r>
      <w:r w:rsidR="00444D34">
        <w:rPr>
          <w:rFonts w:ascii="Arial" w:hAnsi="Arial"/>
          <w:sz w:val="18"/>
          <w:szCs w:val="18"/>
          <w:lang w:val="en-US"/>
        </w:rPr>
        <w:t>-</w:t>
      </w:r>
      <w:r w:rsidRPr="001C3407">
        <w:rPr>
          <w:rFonts w:ascii="Arial" w:hAnsi="Arial"/>
          <w:sz w:val="18"/>
          <w:szCs w:val="18"/>
          <w:lang w:val="en-US"/>
        </w:rPr>
        <w:t>CL13.</w:t>
      </w:r>
    </w:p>
    <w:p w14:paraId="37B548F2" w14:textId="77777777" w:rsidR="009A1097" w:rsidRPr="001C3407" w:rsidRDefault="009A1097" w:rsidP="009A1097">
      <w:pPr>
        <w:spacing w:line="480" w:lineRule="auto"/>
        <w:jc w:val="both"/>
        <w:rPr>
          <w:rFonts w:ascii="Arial" w:hAnsi="Arial"/>
          <w:sz w:val="18"/>
          <w:szCs w:val="18"/>
          <w:lang w:val="en-US"/>
        </w:rPr>
      </w:pPr>
      <w:r w:rsidRPr="001C3407">
        <w:rPr>
          <w:rFonts w:ascii="Arial" w:hAnsi="Arial"/>
          <w:sz w:val="18"/>
          <w:szCs w:val="18"/>
          <w:lang w:val="en-US"/>
        </w:rPr>
        <w:t>Two independent experiments including 3 mice per group were performed with similar results.</w:t>
      </w:r>
    </w:p>
    <w:p w14:paraId="0E9C7384" w14:textId="3B527850" w:rsidR="009A1097" w:rsidRDefault="00444D34" w:rsidP="00444D34">
      <w:pPr>
        <w:spacing w:line="480" w:lineRule="auto"/>
        <w:jc w:val="center"/>
        <w:rPr>
          <w:rFonts w:ascii="Arial" w:hAnsi="Arial"/>
          <w:b/>
          <w:sz w:val="18"/>
          <w:szCs w:val="18"/>
          <w:lang w:val="en-US"/>
        </w:rPr>
      </w:pPr>
      <w:r>
        <w:rPr>
          <w:rFonts w:ascii="Arial" w:hAnsi="Arial"/>
          <w:b/>
          <w:noProof/>
          <w:sz w:val="18"/>
          <w:szCs w:val="18"/>
          <w:lang w:val="en-IN" w:eastAsia="en-IN"/>
        </w:rPr>
        <w:lastRenderedPageBreak/>
        <w:drawing>
          <wp:inline distT="0" distB="0" distL="0" distR="0" wp14:anchorId="65DE5EA4" wp14:editId="2B9EFB0B">
            <wp:extent cx="3185886" cy="2873375"/>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e S3.png"/>
                    <pic:cNvPicPr/>
                  </pic:nvPicPr>
                  <pic:blipFill rotWithShape="1">
                    <a:blip r:embed="rId9"/>
                    <a:srcRect r="37588" b="54743"/>
                    <a:stretch/>
                  </pic:blipFill>
                  <pic:spPr bwMode="auto">
                    <a:xfrm>
                      <a:off x="0" y="0"/>
                      <a:ext cx="3186388" cy="2873828"/>
                    </a:xfrm>
                    <a:prstGeom prst="rect">
                      <a:avLst/>
                    </a:prstGeom>
                    <a:ln>
                      <a:noFill/>
                    </a:ln>
                    <a:extLst>
                      <a:ext uri="{53640926-AAD7-44D8-BBD7-CCE9431645EC}">
                        <a14:shadowObscured xmlns:a14="http://schemas.microsoft.com/office/drawing/2010/main"/>
                      </a:ext>
                    </a:extLst>
                  </pic:spPr>
                </pic:pic>
              </a:graphicData>
            </a:graphic>
          </wp:inline>
        </w:drawing>
      </w:r>
    </w:p>
    <w:p w14:paraId="5606F4DA" w14:textId="77777777" w:rsidR="00EC5973" w:rsidRDefault="00EC5973" w:rsidP="0043362D">
      <w:pPr>
        <w:spacing w:line="480" w:lineRule="auto"/>
        <w:jc w:val="both"/>
        <w:rPr>
          <w:rFonts w:ascii="Arial" w:hAnsi="Arial"/>
          <w:b/>
          <w:sz w:val="18"/>
          <w:szCs w:val="18"/>
          <w:lang w:val="en-US"/>
        </w:rPr>
      </w:pPr>
    </w:p>
    <w:p w14:paraId="3E8D868B" w14:textId="55EBE6ED" w:rsidR="00AA1E14" w:rsidRDefault="00444D34" w:rsidP="0043362D">
      <w:pPr>
        <w:spacing w:line="480" w:lineRule="auto"/>
        <w:jc w:val="both"/>
        <w:rPr>
          <w:rFonts w:ascii="Arial" w:hAnsi="Arial"/>
          <w:b/>
          <w:sz w:val="18"/>
          <w:szCs w:val="18"/>
          <w:lang w:val="en-US"/>
        </w:rPr>
      </w:pPr>
      <w:r>
        <w:rPr>
          <w:rFonts w:ascii="Arial" w:hAnsi="Arial"/>
          <w:b/>
          <w:sz w:val="18"/>
          <w:szCs w:val="18"/>
          <w:lang w:val="en-US"/>
        </w:rPr>
        <w:t>F</w:t>
      </w:r>
      <w:r w:rsidR="00AA1E14" w:rsidRPr="0043362D">
        <w:rPr>
          <w:rFonts w:ascii="Arial" w:hAnsi="Arial"/>
          <w:b/>
          <w:sz w:val="18"/>
          <w:szCs w:val="18"/>
          <w:lang w:val="en-US"/>
        </w:rPr>
        <w:t>igure S</w:t>
      </w:r>
      <w:r w:rsidR="009A1097">
        <w:rPr>
          <w:rFonts w:ascii="Arial" w:hAnsi="Arial"/>
          <w:b/>
          <w:sz w:val="18"/>
          <w:szCs w:val="18"/>
          <w:lang w:val="en-US"/>
        </w:rPr>
        <w:t>4</w:t>
      </w:r>
      <w:r w:rsidR="00AA1E14" w:rsidRPr="0043362D">
        <w:rPr>
          <w:rFonts w:ascii="Arial" w:hAnsi="Arial"/>
          <w:b/>
          <w:sz w:val="18"/>
          <w:szCs w:val="18"/>
          <w:lang w:val="en-US"/>
        </w:rPr>
        <w:t xml:space="preserve">. </w:t>
      </w:r>
      <w:r w:rsidR="0043362D" w:rsidRPr="0043362D">
        <w:rPr>
          <w:rFonts w:ascii="Arial" w:hAnsi="Arial"/>
          <w:b/>
          <w:sz w:val="18"/>
          <w:szCs w:val="18"/>
          <w:lang w:val="en-US"/>
        </w:rPr>
        <w:t xml:space="preserve">Impact of LFA-1 on CD8 T cells burst size after </w:t>
      </w:r>
      <w:r w:rsidR="00065FB9">
        <w:rPr>
          <w:rFonts w:ascii="Arial" w:hAnsi="Arial"/>
          <w:b/>
          <w:sz w:val="18"/>
          <w:szCs w:val="18"/>
          <w:lang w:val="en-US"/>
        </w:rPr>
        <w:t>LCMV-C</w:t>
      </w:r>
      <w:r>
        <w:rPr>
          <w:rFonts w:ascii="Arial" w:hAnsi="Arial"/>
          <w:b/>
          <w:sz w:val="18"/>
          <w:szCs w:val="18"/>
          <w:lang w:val="en-US"/>
        </w:rPr>
        <w:t>L</w:t>
      </w:r>
      <w:r w:rsidR="00065FB9">
        <w:rPr>
          <w:rFonts w:ascii="Arial" w:hAnsi="Arial"/>
          <w:b/>
          <w:sz w:val="18"/>
          <w:szCs w:val="18"/>
          <w:lang w:val="en-US"/>
        </w:rPr>
        <w:t>13</w:t>
      </w:r>
      <w:r w:rsidR="0043362D" w:rsidRPr="0043362D">
        <w:rPr>
          <w:rFonts w:ascii="Arial" w:hAnsi="Arial"/>
          <w:b/>
          <w:sz w:val="18"/>
          <w:szCs w:val="18"/>
          <w:lang w:val="en-US"/>
        </w:rPr>
        <w:t xml:space="preserve"> infection.</w:t>
      </w:r>
    </w:p>
    <w:p w14:paraId="2DA7E869" w14:textId="17092498" w:rsidR="0043362D" w:rsidRPr="0043362D" w:rsidRDefault="0043362D" w:rsidP="0043362D">
      <w:pPr>
        <w:spacing w:line="480" w:lineRule="auto"/>
        <w:jc w:val="both"/>
        <w:rPr>
          <w:rFonts w:ascii="Arial" w:hAnsi="Arial"/>
          <w:b/>
          <w:sz w:val="18"/>
          <w:szCs w:val="18"/>
          <w:lang w:val="en-US"/>
        </w:rPr>
      </w:pPr>
      <w:r w:rsidRPr="00390B04">
        <w:rPr>
          <w:rFonts w:ascii="Arial" w:hAnsi="Arial"/>
          <w:sz w:val="18"/>
          <w:szCs w:val="18"/>
          <w:lang w:val="en-US"/>
        </w:rPr>
        <w:t>A small number (10,000 cells) of naïve LFA-1</w:t>
      </w:r>
      <w:r w:rsidRPr="00390B04">
        <w:rPr>
          <w:rFonts w:ascii="Arial" w:hAnsi="Arial"/>
          <w:sz w:val="18"/>
          <w:szCs w:val="18"/>
          <w:vertAlign w:val="superscript"/>
          <w:lang w:val="en-US"/>
        </w:rPr>
        <w:t>+/+</w:t>
      </w:r>
      <w:r w:rsidRPr="00390B04">
        <w:rPr>
          <w:rFonts w:ascii="Arial" w:hAnsi="Arial"/>
          <w:sz w:val="18"/>
          <w:szCs w:val="18"/>
          <w:lang w:val="en-US"/>
        </w:rPr>
        <w:t xml:space="preserve"> CD45.1</w:t>
      </w:r>
      <w:r w:rsidRPr="00390B04">
        <w:rPr>
          <w:rFonts w:ascii="Arial" w:hAnsi="Arial"/>
          <w:sz w:val="18"/>
          <w:szCs w:val="18"/>
          <w:vertAlign w:val="superscript"/>
          <w:lang w:val="en-US"/>
        </w:rPr>
        <w:t>+</w:t>
      </w:r>
      <w:r w:rsidRPr="00390B04">
        <w:rPr>
          <w:rFonts w:ascii="Arial" w:hAnsi="Arial"/>
          <w:sz w:val="18"/>
          <w:szCs w:val="18"/>
          <w:lang w:val="en-US"/>
        </w:rPr>
        <w:t xml:space="preserve"> and LFA-1</w:t>
      </w:r>
      <w:r w:rsidRPr="00390B04">
        <w:rPr>
          <w:rFonts w:ascii="Arial" w:hAnsi="Arial"/>
          <w:sz w:val="18"/>
          <w:szCs w:val="18"/>
          <w:vertAlign w:val="superscript"/>
          <w:lang w:val="en-US"/>
        </w:rPr>
        <w:t>-/-</w:t>
      </w:r>
      <w:r w:rsidRPr="00390B04">
        <w:rPr>
          <w:rFonts w:ascii="Arial" w:hAnsi="Arial"/>
          <w:sz w:val="18"/>
          <w:szCs w:val="18"/>
          <w:lang w:val="en-US"/>
        </w:rPr>
        <w:t xml:space="preserve"> CD45.2</w:t>
      </w:r>
      <w:r w:rsidRPr="00390B04">
        <w:rPr>
          <w:rFonts w:ascii="Arial" w:hAnsi="Arial"/>
          <w:sz w:val="18"/>
          <w:szCs w:val="18"/>
          <w:vertAlign w:val="superscript"/>
          <w:lang w:val="en-US"/>
        </w:rPr>
        <w:t>+</w:t>
      </w:r>
      <w:r w:rsidRPr="00390B04">
        <w:rPr>
          <w:rFonts w:ascii="Arial" w:hAnsi="Arial"/>
          <w:sz w:val="18"/>
          <w:szCs w:val="18"/>
          <w:lang w:val="en-US"/>
        </w:rPr>
        <w:t xml:space="preserve"> P14 T</w:t>
      </w:r>
      <w:r w:rsidR="001308FE" w:rsidRPr="001308FE">
        <w:rPr>
          <w:rFonts w:ascii="Arial" w:hAnsi="Arial"/>
          <w:sz w:val="18"/>
          <w:szCs w:val="18"/>
          <w:vertAlign w:val="subscript"/>
          <w:lang w:val="en-US"/>
        </w:rPr>
        <w:t>N</w:t>
      </w:r>
      <w:r w:rsidRPr="00390B04">
        <w:rPr>
          <w:rFonts w:ascii="Arial" w:hAnsi="Arial"/>
          <w:sz w:val="18"/>
          <w:szCs w:val="18"/>
          <w:lang w:val="en-US"/>
        </w:rPr>
        <w:t xml:space="preserve"> cells were enriched by magnetic negative selection (&gt;95% purity) and transferred into the </w:t>
      </w:r>
      <w:r w:rsidR="00444D34">
        <w:rPr>
          <w:rFonts w:ascii="Arial" w:hAnsi="Arial"/>
          <w:sz w:val="18"/>
          <w:szCs w:val="18"/>
          <w:lang w:val="en-US"/>
        </w:rPr>
        <w:t>separate</w:t>
      </w:r>
      <w:r w:rsidRPr="00390B04">
        <w:rPr>
          <w:rFonts w:ascii="Arial" w:hAnsi="Arial"/>
          <w:sz w:val="18"/>
          <w:szCs w:val="18"/>
          <w:lang w:val="en-US"/>
        </w:rPr>
        <w:t xml:space="preserve"> WT CD45.2</w:t>
      </w:r>
      <w:r w:rsidRPr="00390B04">
        <w:rPr>
          <w:rFonts w:ascii="Arial" w:hAnsi="Arial"/>
          <w:sz w:val="18"/>
          <w:szCs w:val="18"/>
          <w:vertAlign w:val="superscript"/>
          <w:lang w:val="en-US"/>
        </w:rPr>
        <w:t>+</w:t>
      </w:r>
      <w:r w:rsidRPr="00390B04">
        <w:rPr>
          <w:rFonts w:ascii="Arial" w:hAnsi="Arial"/>
          <w:sz w:val="18"/>
          <w:szCs w:val="18"/>
          <w:lang w:val="en-US"/>
        </w:rPr>
        <w:t xml:space="preserve"> recipient, thus generating P14 chimeric mice. </w:t>
      </w:r>
      <w:r>
        <w:rPr>
          <w:rFonts w:ascii="Arial" w:hAnsi="Arial"/>
          <w:sz w:val="18"/>
          <w:szCs w:val="18"/>
          <w:lang w:val="en-US"/>
        </w:rPr>
        <w:t xml:space="preserve">(c) </w:t>
      </w:r>
      <w:r w:rsidRPr="00390B04">
        <w:rPr>
          <w:rFonts w:ascii="Arial" w:hAnsi="Arial"/>
          <w:sz w:val="18"/>
          <w:szCs w:val="18"/>
          <w:lang w:val="en-US"/>
        </w:rPr>
        <w:t xml:space="preserve">24 hours later, recipient mice were i.v. challenged with </w:t>
      </w:r>
      <w:r w:rsidR="00065FB9">
        <w:rPr>
          <w:rFonts w:ascii="Arial" w:hAnsi="Arial"/>
          <w:sz w:val="18"/>
          <w:szCs w:val="18"/>
          <w:lang w:val="en-US"/>
        </w:rPr>
        <w:t>LCMV-C</w:t>
      </w:r>
      <w:r w:rsidR="00444D34">
        <w:rPr>
          <w:rFonts w:ascii="Arial" w:hAnsi="Arial"/>
          <w:sz w:val="18"/>
          <w:szCs w:val="18"/>
          <w:lang w:val="en-US"/>
        </w:rPr>
        <w:t>L</w:t>
      </w:r>
      <w:r w:rsidR="00065FB9">
        <w:rPr>
          <w:rFonts w:ascii="Arial" w:hAnsi="Arial"/>
          <w:sz w:val="18"/>
          <w:szCs w:val="18"/>
          <w:lang w:val="en-US"/>
        </w:rPr>
        <w:t>13</w:t>
      </w:r>
      <w:r w:rsidRPr="00390B04">
        <w:rPr>
          <w:rFonts w:ascii="Arial" w:hAnsi="Arial"/>
          <w:sz w:val="18"/>
          <w:szCs w:val="18"/>
          <w:lang w:val="en-US"/>
        </w:rPr>
        <w:t xml:space="preserve"> (5x10</w:t>
      </w:r>
      <w:r w:rsidRPr="00390B04">
        <w:rPr>
          <w:rFonts w:ascii="Arial" w:hAnsi="Arial"/>
          <w:sz w:val="18"/>
          <w:szCs w:val="18"/>
          <w:vertAlign w:val="superscript"/>
          <w:lang w:val="en-US"/>
        </w:rPr>
        <w:t>4</w:t>
      </w:r>
      <w:r w:rsidRPr="00390B04">
        <w:rPr>
          <w:rFonts w:ascii="Arial" w:hAnsi="Arial"/>
          <w:sz w:val="18"/>
          <w:szCs w:val="18"/>
          <w:lang w:val="en-US"/>
        </w:rPr>
        <w:t xml:space="preserve"> pfu)</w:t>
      </w:r>
      <w:r>
        <w:rPr>
          <w:rFonts w:ascii="Arial" w:hAnsi="Arial"/>
          <w:sz w:val="18"/>
          <w:szCs w:val="18"/>
          <w:lang w:val="en-US"/>
        </w:rPr>
        <w:t xml:space="preserve"> that were able to clear infection with kinetics similar to non-chimeric mice. T</w:t>
      </w:r>
      <w:r w:rsidR="00444D34" w:rsidRPr="00444D34">
        <w:rPr>
          <w:rFonts w:ascii="Arial" w:hAnsi="Arial"/>
          <w:sz w:val="18"/>
          <w:szCs w:val="18"/>
          <w:vertAlign w:val="subscript"/>
          <w:lang w:val="en-US"/>
        </w:rPr>
        <w:t>EFF</w:t>
      </w:r>
      <w:r w:rsidR="00444D34">
        <w:rPr>
          <w:rFonts w:ascii="Arial" w:hAnsi="Arial"/>
          <w:sz w:val="18"/>
          <w:szCs w:val="18"/>
          <w:lang w:val="en-US"/>
        </w:rPr>
        <w:t xml:space="preserve"> </w:t>
      </w:r>
      <w:r>
        <w:rPr>
          <w:rFonts w:ascii="Arial" w:hAnsi="Arial"/>
          <w:sz w:val="18"/>
          <w:szCs w:val="18"/>
          <w:lang w:val="en-US"/>
        </w:rPr>
        <w:t xml:space="preserve">burst size was quantified overtime in the blood of </w:t>
      </w:r>
      <w:r w:rsidR="00065FB9">
        <w:rPr>
          <w:rFonts w:ascii="Arial" w:hAnsi="Arial"/>
          <w:sz w:val="18"/>
          <w:szCs w:val="18"/>
          <w:lang w:val="en-US"/>
        </w:rPr>
        <w:t>LCMV-C</w:t>
      </w:r>
      <w:r w:rsidR="00444D34">
        <w:rPr>
          <w:rFonts w:ascii="Arial" w:hAnsi="Arial"/>
          <w:sz w:val="18"/>
          <w:szCs w:val="18"/>
          <w:lang w:val="en-US"/>
        </w:rPr>
        <w:t>L</w:t>
      </w:r>
      <w:r w:rsidR="00065FB9">
        <w:rPr>
          <w:rFonts w:ascii="Arial" w:hAnsi="Arial"/>
          <w:sz w:val="18"/>
          <w:szCs w:val="18"/>
          <w:lang w:val="en-US"/>
        </w:rPr>
        <w:t>13</w:t>
      </w:r>
      <w:r>
        <w:rPr>
          <w:rFonts w:ascii="Arial" w:hAnsi="Arial"/>
          <w:sz w:val="18"/>
          <w:szCs w:val="18"/>
          <w:lang w:val="en-US"/>
        </w:rPr>
        <w:t xml:space="preserve"> infected mice by flow cytometry.</w:t>
      </w:r>
    </w:p>
    <w:p w14:paraId="2DC4D4C7" w14:textId="77777777" w:rsidR="00732442" w:rsidRDefault="00732442" w:rsidP="00B276D5">
      <w:pPr>
        <w:spacing w:line="480" w:lineRule="auto"/>
        <w:jc w:val="both"/>
        <w:rPr>
          <w:rFonts w:ascii="Arial" w:hAnsi="Arial"/>
          <w:sz w:val="18"/>
          <w:szCs w:val="18"/>
          <w:lang w:val="en-US"/>
        </w:rPr>
      </w:pPr>
    </w:p>
    <w:p w14:paraId="1BEF5B77" w14:textId="731786D0" w:rsidR="000D0525" w:rsidRDefault="000D0525" w:rsidP="000D0525">
      <w:pPr>
        <w:spacing w:line="480" w:lineRule="auto"/>
        <w:jc w:val="both"/>
        <w:rPr>
          <w:rFonts w:ascii="Arial" w:hAnsi="Arial" w:cs="Verdana"/>
          <w:b/>
          <w:sz w:val="22"/>
          <w:szCs w:val="22"/>
          <w:lang w:val="en-US"/>
        </w:rPr>
      </w:pPr>
      <w:r w:rsidRPr="005C7444">
        <w:rPr>
          <w:rFonts w:ascii="Arial" w:hAnsi="Arial" w:cs="Verdana"/>
          <w:b/>
          <w:sz w:val="22"/>
          <w:szCs w:val="22"/>
          <w:lang w:val="en-US"/>
        </w:rPr>
        <w:t xml:space="preserve"> </w:t>
      </w:r>
    </w:p>
    <w:p w14:paraId="0690C089" w14:textId="77777777" w:rsidR="000D0525" w:rsidRPr="00567CCF" w:rsidRDefault="000D0525" w:rsidP="000D0525">
      <w:pPr>
        <w:spacing w:line="480" w:lineRule="auto"/>
        <w:jc w:val="center"/>
        <w:rPr>
          <w:rFonts w:ascii="Arial" w:hAnsi="Arial"/>
          <w:b/>
          <w:sz w:val="28"/>
          <w:szCs w:val="28"/>
          <w:lang w:val="en-US"/>
        </w:rPr>
      </w:pPr>
    </w:p>
    <w:p w14:paraId="5E0FDE01" w14:textId="77777777" w:rsidR="000D0525" w:rsidRDefault="000D0525" w:rsidP="000D0525">
      <w:pPr>
        <w:spacing w:line="480" w:lineRule="auto"/>
        <w:jc w:val="both"/>
        <w:rPr>
          <w:rFonts w:ascii="Arial" w:hAnsi="Arial"/>
          <w:sz w:val="22"/>
          <w:szCs w:val="22"/>
          <w:lang w:val="en-US"/>
        </w:rPr>
      </w:pPr>
    </w:p>
    <w:p w14:paraId="21C4B258" w14:textId="77777777" w:rsidR="000D0525" w:rsidRDefault="000D0525" w:rsidP="000D0525">
      <w:pPr>
        <w:rPr>
          <w:rFonts w:ascii="Arial" w:hAnsi="Arial" w:cs="Verdana"/>
          <w:b/>
          <w:sz w:val="22"/>
          <w:szCs w:val="22"/>
          <w:lang w:val="en-US"/>
        </w:rPr>
      </w:pPr>
      <w:r>
        <w:rPr>
          <w:rFonts w:ascii="Arial" w:hAnsi="Arial" w:cs="Verdana"/>
          <w:b/>
          <w:sz w:val="22"/>
          <w:szCs w:val="22"/>
          <w:lang w:val="en-US"/>
        </w:rPr>
        <w:br w:type="page"/>
      </w:r>
    </w:p>
    <w:p w14:paraId="11FA959D" w14:textId="03C33A18" w:rsidR="000D0525" w:rsidRDefault="005F5607" w:rsidP="000D0525">
      <w:pPr>
        <w:spacing w:line="480" w:lineRule="auto"/>
        <w:jc w:val="center"/>
        <w:rPr>
          <w:rFonts w:ascii="Arial" w:hAnsi="Arial" w:cs="Verdana"/>
          <w:b/>
          <w:sz w:val="22"/>
          <w:szCs w:val="22"/>
          <w:lang w:val="en-US"/>
        </w:rPr>
      </w:pPr>
      <w:r>
        <w:rPr>
          <w:rFonts w:ascii="Arial" w:hAnsi="Arial" w:cs="Verdana"/>
          <w:b/>
          <w:noProof/>
          <w:sz w:val="22"/>
          <w:szCs w:val="22"/>
          <w:lang w:val="en-IN" w:eastAsia="en-IN"/>
        </w:rPr>
        <w:lastRenderedPageBreak/>
        <w:drawing>
          <wp:inline distT="0" distB="0" distL="0" distR="0" wp14:anchorId="73986310" wp14:editId="19F804FB">
            <wp:extent cx="4441372" cy="4999990"/>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5.png"/>
                    <pic:cNvPicPr/>
                  </pic:nvPicPr>
                  <pic:blipFill rotWithShape="1">
                    <a:blip r:embed="rId10"/>
                    <a:srcRect r="19417" b="40795"/>
                    <a:stretch/>
                  </pic:blipFill>
                  <pic:spPr bwMode="auto">
                    <a:xfrm>
                      <a:off x="0" y="0"/>
                      <a:ext cx="4441533" cy="5000171"/>
                    </a:xfrm>
                    <a:prstGeom prst="rect">
                      <a:avLst/>
                    </a:prstGeom>
                    <a:ln>
                      <a:noFill/>
                    </a:ln>
                    <a:extLst>
                      <a:ext uri="{53640926-AAD7-44D8-BBD7-CCE9431645EC}">
                        <a14:shadowObscured xmlns:a14="http://schemas.microsoft.com/office/drawing/2010/main"/>
                      </a:ext>
                    </a:extLst>
                  </pic:spPr>
                </pic:pic>
              </a:graphicData>
            </a:graphic>
          </wp:inline>
        </w:drawing>
      </w:r>
    </w:p>
    <w:p w14:paraId="554A71FD" w14:textId="08A1C682" w:rsidR="000D0525" w:rsidRPr="0012271A" w:rsidRDefault="000D0525" w:rsidP="000D0525">
      <w:pPr>
        <w:spacing w:line="480" w:lineRule="auto"/>
        <w:jc w:val="both"/>
        <w:rPr>
          <w:rFonts w:ascii="Arial" w:hAnsi="Arial" w:cs="Verdana"/>
          <w:sz w:val="18"/>
          <w:szCs w:val="18"/>
          <w:lang w:val="en-US"/>
        </w:rPr>
      </w:pPr>
      <w:r w:rsidRPr="00B75E88">
        <w:rPr>
          <w:rFonts w:ascii="Arial" w:hAnsi="Arial" w:cs="Verdana"/>
          <w:b/>
          <w:sz w:val="18"/>
          <w:szCs w:val="18"/>
          <w:lang w:val="en-US"/>
        </w:rPr>
        <w:t>Figure S</w:t>
      </w:r>
      <w:r w:rsidR="001C3407" w:rsidRPr="00B75E88">
        <w:rPr>
          <w:rFonts w:ascii="Arial" w:hAnsi="Arial" w:cs="Verdana"/>
          <w:b/>
          <w:sz w:val="18"/>
          <w:szCs w:val="18"/>
          <w:lang w:val="en-US"/>
        </w:rPr>
        <w:t>5</w:t>
      </w:r>
      <w:r w:rsidRPr="00B75E88">
        <w:rPr>
          <w:rFonts w:ascii="Arial" w:hAnsi="Arial" w:cs="Verdana"/>
          <w:b/>
          <w:sz w:val="18"/>
          <w:szCs w:val="18"/>
          <w:lang w:val="en-US"/>
        </w:rPr>
        <w:t>. Gating strategy for transcriptome analysis.</w:t>
      </w:r>
      <w:r w:rsidR="0012271A">
        <w:rPr>
          <w:rFonts w:ascii="Arial" w:hAnsi="Arial" w:cs="Verdana"/>
          <w:sz w:val="18"/>
          <w:szCs w:val="18"/>
          <w:lang w:val="en-US"/>
        </w:rPr>
        <w:t xml:space="preserve"> </w:t>
      </w:r>
      <w:r w:rsidRPr="00B75E88">
        <w:rPr>
          <w:rFonts w:ascii="Arial" w:hAnsi="Arial" w:cs="Verdana"/>
          <w:sz w:val="18"/>
          <w:szCs w:val="18"/>
          <w:lang w:val="en-US"/>
        </w:rPr>
        <w:t>(a) DexGP-33 T</w:t>
      </w:r>
      <w:r w:rsidRPr="00B75E88">
        <w:rPr>
          <w:rFonts w:ascii="Arial" w:hAnsi="Arial" w:cs="Verdana"/>
          <w:sz w:val="18"/>
          <w:szCs w:val="18"/>
          <w:vertAlign w:val="subscript"/>
          <w:lang w:val="en-US"/>
        </w:rPr>
        <w:t>EFF</w:t>
      </w:r>
      <w:r w:rsidRPr="00B75E88">
        <w:rPr>
          <w:rFonts w:ascii="Arial" w:hAnsi="Arial" w:cs="Verdana"/>
          <w:sz w:val="18"/>
          <w:szCs w:val="18"/>
          <w:lang w:val="en-US"/>
        </w:rPr>
        <w:t xml:space="preserve"> were identified based on their surface expression of CD8 and binding to Dextramer GP33. (b) P14 T</w:t>
      </w:r>
      <w:r w:rsidRPr="00B75E88">
        <w:rPr>
          <w:rFonts w:ascii="Arial" w:hAnsi="Arial" w:cs="Verdana"/>
          <w:sz w:val="18"/>
          <w:szCs w:val="18"/>
          <w:vertAlign w:val="subscript"/>
          <w:lang w:val="en-US"/>
        </w:rPr>
        <w:t>EFF</w:t>
      </w:r>
      <w:r w:rsidRPr="00B75E88">
        <w:rPr>
          <w:rFonts w:ascii="Arial" w:hAnsi="Arial" w:cs="Verdana"/>
          <w:sz w:val="18"/>
          <w:szCs w:val="18"/>
          <w:lang w:val="en-US"/>
        </w:rPr>
        <w:t xml:space="preserve"> were identified based on their surface expression of LFA</w:t>
      </w:r>
      <w:r w:rsidR="0012271A">
        <w:rPr>
          <w:rFonts w:ascii="Arial" w:hAnsi="Arial" w:cs="Verdana"/>
          <w:sz w:val="18"/>
          <w:szCs w:val="18"/>
          <w:lang w:val="en-US"/>
        </w:rPr>
        <w:t>-</w:t>
      </w:r>
      <w:r w:rsidRPr="00B75E88">
        <w:rPr>
          <w:rFonts w:ascii="Arial" w:hAnsi="Arial" w:cs="Verdana"/>
          <w:sz w:val="18"/>
          <w:szCs w:val="18"/>
          <w:lang w:val="en-US"/>
        </w:rPr>
        <w:t>1 and CD45.1 after gating on CD8+ lymphocytes.</w:t>
      </w:r>
      <w:r w:rsidRPr="00B75E88">
        <w:rPr>
          <w:rFonts w:ascii="Arial" w:hAnsi="Arial" w:cs="Verdana"/>
          <w:b/>
          <w:sz w:val="18"/>
          <w:szCs w:val="18"/>
          <w:lang w:val="en-US"/>
        </w:rPr>
        <w:t xml:space="preserve"> </w:t>
      </w:r>
    </w:p>
    <w:p w14:paraId="2403DB77" w14:textId="77777777" w:rsidR="000D0525" w:rsidRDefault="000D0525" w:rsidP="000D0525">
      <w:pPr>
        <w:rPr>
          <w:rFonts w:ascii="Arial" w:hAnsi="Arial" w:cs="Verdana"/>
          <w:b/>
          <w:sz w:val="22"/>
          <w:szCs w:val="22"/>
          <w:lang w:val="en-US"/>
        </w:rPr>
      </w:pPr>
      <w:r>
        <w:rPr>
          <w:rFonts w:ascii="Arial" w:hAnsi="Arial" w:cs="Verdana"/>
          <w:b/>
          <w:sz w:val="22"/>
          <w:szCs w:val="22"/>
          <w:lang w:val="en-US"/>
        </w:rPr>
        <w:br w:type="page"/>
      </w:r>
    </w:p>
    <w:p w14:paraId="430734EE" w14:textId="3AD437C9" w:rsidR="000D0525" w:rsidRDefault="00882AFB" w:rsidP="000D0525">
      <w:pPr>
        <w:spacing w:line="480" w:lineRule="auto"/>
        <w:jc w:val="center"/>
        <w:rPr>
          <w:rFonts w:ascii="Arial" w:hAnsi="Arial" w:cs="Verdana"/>
          <w:b/>
          <w:sz w:val="22"/>
          <w:szCs w:val="22"/>
          <w:lang w:val="en-US"/>
        </w:rPr>
      </w:pPr>
      <w:r>
        <w:rPr>
          <w:rFonts w:ascii="Arial" w:hAnsi="Arial" w:cs="Verdana"/>
          <w:b/>
          <w:noProof/>
          <w:sz w:val="22"/>
          <w:szCs w:val="22"/>
          <w:lang w:val="en-IN" w:eastAsia="en-IN"/>
        </w:rPr>
        <w:lastRenderedPageBreak/>
        <w:drawing>
          <wp:inline distT="0" distB="0" distL="0" distR="0" wp14:anchorId="7A6CE7A4" wp14:editId="3D0CBDDF">
            <wp:extent cx="6184900" cy="63790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6.png"/>
                    <pic:cNvPicPr/>
                  </pic:nvPicPr>
                  <pic:blipFill rotWithShape="1">
                    <a:blip r:embed="rId11"/>
                    <a:srcRect b="24931"/>
                    <a:stretch/>
                  </pic:blipFill>
                  <pic:spPr bwMode="auto">
                    <a:xfrm>
                      <a:off x="0" y="0"/>
                      <a:ext cx="6184900" cy="6379028"/>
                    </a:xfrm>
                    <a:prstGeom prst="rect">
                      <a:avLst/>
                    </a:prstGeom>
                    <a:ln>
                      <a:noFill/>
                    </a:ln>
                    <a:extLst>
                      <a:ext uri="{53640926-AAD7-44D8-BBD7-CCE9431645EC}">
                        <a14:shadowObscured xmlns:a14="http://schemas.microsoft.com/office/drawing/2010/main"/>
                      </a:ext>
                    </a:extLst>
                  </pic:spPr>
                </pic:pic>
              </a:graphicData>
            </a:graphic>
          </wp:inline>
        </w:drawing>
      </w:r>
    </w:p>
    <w:p w14:paraId="068659FE" w14:textId="77777777" w:rsidR="000D0525" w:rsidRDefault="000D0525" w:rsidP="000D0525">
      <w:pPr>
        <w:spacing w:line="480" w:lineRule="auto"/>
        <w:jc w:val="both"/>
        <w:rPr>
          <w:rFonts w:ascii="Arial" w:hAnsi="Arial" w:cs="Verdana"/>
          <w:b/>
          <w:sz w:val="22"/>
          <w:szCs w:val="22"/>
          <w:lang w:val="en-US"/>
        </w:rPr>
      </w:pPr>
    </w:p>
    <w:p w14:paraId="6B371C58" w14:textId="77777777" w:rsidR="000D0525" w:rsidRDefault="000D0525" w:rsidP="000D0525">
      <w:pPr>
        <w:spacing w:line="480" w:lineRule="auto"/>
        <w:jc w:val="both"/>
        <w:rPr>
          <w:rFonts w:ascii="Arial" w:hAnsi="Arial" w:cs="Verdana"/>
          <w:b/>
          <w:sz w:val="22"/>
          <w:szCs w:val="22"/>
          <w:lang w:val="en-US"/>
        </w:rPr>
      </w:pPr>
    </w:p>
    <w:p w14:paraId="3C474937" w14:textId="45EB8691" w:rsidR="000D0525" w:rsidRPr="00B75E88" w:rsidRDefault="000D0525" w:rsidP="000D0525">
      <w:pPr>
        <w:spacing w:line="480" w:lineRule="auto"/>
        <w:jc w:val="both"/>
        <w:rPr>
          <w:rFonts w:ascii="Arial" w:hAnsi="Arial" w:cs="Verdana"/>
          <w:b/>
          <w:sz w:val="18"/>
          <w:szCs w:val="18"/>
          <w:lang w:val="en-US"/>
        </w:rPr>
      </w:pPr>
      <w:r w:rsidRPr="00B75E88">
        <w:rPr>
          <w:rFonts w:ascii="Arial" w:hAnsi="Arial" w:cs="Verdana"/>
          <w:b/>
          <w:sz w:val="18"/>
          <w:szCs w:val="18"/>
          <w:lang w:val="en-US"/>
        </w:rPr>
        <w:t>Figure S</w:t>
      </w:r>
      <w:r w:rsidR="00B75E88" w:rsidRPr="00B75E88">
        <w:rPr>
          <w:rFonts w:ascii="Arial" w:hAnsi="Arial" w:cs="Verdana"/>
          <w:b/>
          <w:sz w:val="18"/>
          <w:szCs w:val="18"/>
          <w:lang w:val="en-US"/>
        </w:rPr>
        <w:t>6</w:t>
      </w:r>
      <w:r w:rsidRPr="00B75E88">
        <w:rPr>
          <w:rFonts w:ascii="Arial" w:hAnsi="Arial" w:cs="Verdana"/>
          <w:b/>
          <w:sz w:val="18"/>
          <w:szCs w:val="18"/>
          <w:lang w:val="en-US"/>
        </w:rPr>
        <w:t>. GSEA analysis of P14 and DexGP-33 T</w:t>
      </w:r>
      <w:r w:rsidRPr="00B75E88">
        <w:rPr>
          <w:rFonts w:ascii="Arial" w:hAnsi="Arial" w:cs="Verdana"/>
          <w:b/>
          <w:sz w:val="18"/>
          <w:szCs w:val="18"/>
          <w:vertAlign w:val="subscript"/>
          <w:lang w:val="en-US"/>
        </w:rPr>
        <w:t>EFF</w:t>
      </w:r>
      <w:r w:rsidRPr="00B75E88">
        <w:rPr>
          <w:rFonts w:ascii="Arial" w:hAnsi="Arial" w:cs="Verdana"/>
          <w:b/>
          <w:sz w:val="18"/>
          <w:szCs w:val="18"/>
          <w:lang w:val="en-US"/>
        </w:rPr>
        <w:t xml:space="preserve"> generated during LCMV-C</w:t>
      </w:r>
      <w:r w:rsidR="005F6967">
        <w:rPr>
          <w:rFonts w:ascii="Arial" w:hAnsi="Arial" w:cs="Verdana"/>
          <w:b/>
          <w:sz w:val="18"/>
          <w:szCs w:val="18"/>
          <w:lang w:val="en-US"/>
        </w:rPr>
        <w:t>L</w:t>
      </w:r>
      <w:r w:rsidRPr="00B75E88">
        <w:rPr>
          <w:rFonts w:ascii="Arial" w:hAnsi="Arial" w:cs="Verdana"/>
          <w:b/>
          <w:sz w:val="18"/>
          <w:szCs w:val="18"/>
          <w:lang w:val="en-US"/>
        </w:rPr>
        <w:t>13 infection.</w:t>
      </w:r>
      <w:r w:rsidRPr="00B75E88">
        <w:rPr>
          <w:rFonts w:ascii="Arial" w:hAnsi="Arial" w:cs="Verdana"/>
          <w:sz w:val="18"/>
          <w:szCs w:val="18"/>
          <w:lang w:val="en-US"/>
        </w:rPr>
        <w:t xml:space="preserve"> (a)</w:t>
      </w:r>
      <w:r w:rsidRPr="00B75E88">
        <w:rPr>
          <w:rFonts w:ascii="Arial" w:hAnsi="Arial" w:cs="Verdana"/>
          <w:b/>
          <w:sz w:val="18"/>
          <w:szCs w:val="18"/>
          <w:lang w:val="en-US"/>
        </w:rPr>
        <w:t xml:space="preserve"> </w:t>
      </w:r>
      <w:r w:rsidRPr="00B75E88">
        <w:rPr>
          <w:rFonts w:ascii="Arial" w:hAnsi="Arial" w:cs="Verdana"/>
          <w:sz w:val="18"/>
          <w:szCs w:val="18"/>
          <w:lang w:val="en-US"/>
        </w:rPr>
        <w:t>Overlap in the pathways identified by GSEA to be enriched in LFA1</w:t>
      </w:r>
      <w:r w:rsidRPr="00B75E88">
        <w:rPr>
          <w:rFonts w:ascii="Arial" w:hAnsi="Arial" w:cs="Verdana"/>
          <w:sz w:val="18"/>
          <w:szCs w:val="18"/>
          <w:vertAlign w:val="superscript"/>
          <w:lang w:val="en-US"/>
        </w:rPr>
        <w:t>-/-</w:t>
      </w:r>
      <w:r w:rsidRPr="00B75E88">
        <w:rPr>
          <w:rFonts w:ascii="Arial" w:hAnsi="Arial" w:cs="Verdana"/>
          <w:sz w:val="18"/>
          <w:szCs w:val="18"/>
          <w:lang w:val="en-US"/>
        </w:rPr>
        <w:t xml:space="preserve"> </w:t>
      </w:r>
      <w:r w:rsidR="005F6967" w:rsidRPr="00B75E88">
        <w:rPr>
          <w:rFonts w:ascii="Arial" w:hAnsi="Arial" w:cs="Verdana"/>
          <w:sz w:val="18"/>
          <w:szCs w:val="18"/>
          <w:lang w:val="en-US"/>
        </w:rPr>
        <w:t>P14 T</w:t>
      </w:r>
      <w:r w:rsidR="005F6967" w:rsidRPr="00B75E88">
        <w:rPr>
          <w:rFonts w:ascii="Arial" w:hAnsi="Arial" w:cs="Verdana"/>
          <w:sz w:val="18"/>
          <w:szCs w:val="18"/>
          <w:vertAlign w:val="subscript"/>
          <w:lang w:val="en-US"/>
        </w:rPr>
        <w:t>EFF</w:t>
      </w:r>
      <w:r w:rsidR="005F6967" w:rsidRPr="00B75E88">
        <w:rPr>
          <w:rFonts w:ascii="Arial" w:hAnsi="Arial" w:cs="Verdana"/>
          <w:sz w:val="18"/>
          <w:szCs w:val="18"/>
          <w:lang w:val="en-US"/>
        </w:rPr>
        <w:t xml:space="preserve"> </w:t>
      </w:r>
      <w:r w:rsidRPr="00B75E88">
        <w:rPr>
          <w:rFonts w:ascii="Arial" w:hAnsi="Arial" w:cs="Verdana"/>
          <w:sz w:val="18"/>
          <w:szCs w:val="18"/>
          <w:lang w:val="en-US"/>
        </w:rPr>
        <w:t>and DexGP-33 T</w:t>
      </w:r>
      <w:r w:rsidRPr="00B75E88">
        <w:rPr>
          <w:rFonts w:ascii="Arial" w:hAnsi="Arial" w:cs="Verdana"/>
          <w:sz w:val="18"/>
          <w:szCs w:val="18"/>
          <w:vertAlign w:val="subscript"/>
          <w:lang w:val="en-US"/>
        </w:rPr>
        <w:t>EFF</w:t>
      </w:r>
      <w:r w:rsidRPr="00B75E88">
        <w:rPr>
          <w:rFonts w:ascii="Arial" w:hAnsi="Arial" w:cs="Verdana"/>
          <w:sz w:val="18"/>
          <w:szCs w:val="18"/>
          <w:lang w:val="en-US"/>
        </w:rPr>
        <w:t xml:space="preserve"> from anti-LFA-1 </w:t>
      </w:r>
      <w:r w:rsidR="005F6967">
        <w:rPr>
          <w:rFonts w:ascii="Arial" w:hAnsi="Arial" w:cs="Verdana"/>
          <w:sz w:val="18"/>
          <w:szCs w:val="18"/>
          <w:lang w:val="en-US"/>
        </w:rPr>
        <w:t xml:space="preserve">Mab </w:t>
      </w:r>
      <w:r w:rsidRPr="00B75E88">
        <w:rPr>
          <w:rFonts w:ascii="Arial" w:hAnsi="Arial" w:cs="Verdana"/>
          <w:sz w:val="18"/>
          <w:szCs w:val="18"/>
          <w:lang w:val="en-US"/>
        </w:rPr>
        <w:t xml:space="preserve">treated mice at day 9 p.i. </w:t>
      </w:r>
      <w:r w:rsidRPr="00B75E88">
        <w:rPr>
          <w:rFonts w:ascii="Arial" w:hAnsi="Arial"/>
          <w:sz w:val="18"/>
          <w:szCs w:val="18"/>
          <w:lang w:val="en-US"/>
        </w:rPr>
        <w:t xml:space="preserve">when compared to </w:t>
      </w:r>
      <w:r w:rsidRPr="00B75E88">
        <w:rPr>
          <w:rFonts w:ascii="Arial" w:hAnsi="Arial" w:cs="Verdana"/>
          <w:sz w:val="18"/>
          <w:szCs w:val="18"/>
          <w:lang w:val="en-US"/>
        </w:rPr>
        <w:t>LFA1</w:t>
      </w:r>
      <w:r w:rsidRPr="00B75E88">
        <w:rPr>
          <w:rFonts w:ascii="Arial" w:hAnsi="Arial" w:cs="Verdana"/>
          <w:sz w:val="18"/>
          <w:szCs w:val="18"/>
          <w:vertAlign w:val="superscript"/>
          <w:lang w:val="en-US"/>
        </w:rPr>
        <w:t>+/+</w:t>
      </w:r>
      <w:r w:rsidRPr="00B75E88">
        <w:rPr>
          <w:rFonts w:ascii="Arial" w:hAnsi="Arial" w:cs="Verdana"/>
          <w:sz w:val="18"/>
          <w:szCs w:val="18"/>
          <w:lang w:val="en-US"/>
        </w:rPr>
        <w:t xml:space="preserve"> </w:t>
      </w:r>
      <w:r w:rsidR="005F6967" w:rsidRPr="00B75E88">
        <w:rPr>
          <w:rFonts w:ascii="Arial" w:hAnsi="Arial" w:cs="Verdana"/>
          <w:sz w:val="18"/>
          <w:szCs w:val="18"/>
          <w:lang w:val="en-US"/>
        </w:rPr>
        <w:t>P14 T</w:t>
      </w:r>
      <w:r w:rsidR="005F6967" w:rsidRPr="00B75E88">
        <w:rPr>
          <w:rFonts w:ascii="Arial" w:hAnsi="Arial" w:cs="Verdana"/>
          <w:sz w:val="18"/>
          <w:szCs w:val="18"/>
          <w:vertAlign w:val="subscript"/>
          <w:lang w:val="en-US"/>
        </w:rPr>
        <w:t>EFF</w:t>
      </w:r>
      <w:r w:rsidR="005F6967" w:rsidRPr="00B75E88">
        <w:rPr>
          <w:rFonts w:ascii="Arial" w:hAnsi="Arial" w:cs="Verdana"/>
          <w:sz w:val="18"/>
          <w:szCs w:val="18"/>
          <w:lang w:val="en-US"/>
        </w:rPr>
        <w:t xml:space="preserve"> </w:t>
      </w:r>
      <w:r w:rsidRPr="00B75E88">
        <w:rPr>
          <w:rFonts w:ascii="Arial" w:hAnsi="Arial" w:cs="Verdana"/>
          <w:sz w:val="18"/>
          <w:szCs w:val="18"/>
          <w:lang w:val="en-US"/>
        </w:rPr>
        <w:t>and DexGP-33 T</w:t>
      </w:r>
      <w:r w:rsidRPr="00B75E88">
        <w:rPr>
          <w:rFonts w:ascii="Arial" w:hAnsi="Arial" w:cs="Verdana"/>
          <w:sz w:val="18"/>
          <w:szCs w:val="18"/>
          <w:vertAlign w:val="subscript"/>
          <w:lang w:val="en-US"/>
        </w:rPr>
        <w:t>EFF</w:t>
      </w:r>
      <w:r w:rsidRPr="00B75E88">
        <w:rPr>
          <w:rFonts w:ascii="Arial" w:hAnsi="Arial" w:cs="Verdana"/>
          <w:sz w:val="18"/>
          <w:szCs w:val="18"/>
          <w:lang w:val="en-US"/>
        </w:rPr>
        <w:t xml:space="preserve"> from control infected mice, respectively.</w:t>
      </w:r>
    </w:p>
    <w:p w14:paraId="15D09687" w14:textId="77777777" w:rsidR="000D0525" w:rsidRDefault="000D0525" w:rsidP="000D0525">
      <w:pPr>
        <w:rPr>
          <w:rFonts w:ascii="Arial" w:hAnsi="Arial" w:cs="Verdana"/>
          <w:b/>
          <w:sz w:val="22"/>
          <w:szCs w:val="22"/>
          <w:lang w:val="en-US"/>
        </w:rPr>
      </w:pPr>
      <w:r>
        <w:rPr>
          <w:rFonts w:ascii="Arial" w:hAnsi="Arial" w:cs="Verdana"/>
          <w:b/>
          <w:sz w:val="22"/>
          <w:szCs w:val="22"/>
          <w:lang w:val="en-US"/>
        </w:rPr>
        <w:br w:type="page"/>
      </w:r>
    </w:p>
    <w:p w14:paraId="7E2B80D2" w14:textId="10E05979" w:rsidR="000D0525" w:rsidRDefault="00E65B41" w:rsidP="000D0525">
      <w:pPr>
        <w:spacing w:after="120"/>
        <w:jc w:val="both"/>
        <w:rPr>
          <w:rFonts w:ascii="Arial" w:hAnsi="Arial" w:cs="Verdana"/>
          <w:b/>
          <w:sz w:val="22"/>
          <w:szCs w:val="22"/>
          <w:lang w:val="en-US"/>
        </w:rPr>
      </w:pPr>
      <w:r>
        <w:rPr>
          <w:rFonts w:ascii="Arial" w:hAnsi="Arial" w:cs="Verdana"/>
          <w:b/>
          <w:noProof/>
          <w:sz w:val="22"/>
          <w:szCs w:val="22"/>
          <w:lang w:val="en-IN" w:eastAsia="en-IN"/>
        </w:rPr>
        <w:lastRenderedPageBreak/>
        <w:drawing>
          <wp:inline distT="0" distB="0" distL="0" distR="0" wp14:anchorId="09D52258" wp14:editId="7E2B87DE">
            <wp:extent cx="6184900" cy="60742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7.png"/>
                    <pic:cNvPicPr/>
                  </pic:nvPicPr>
                  <pic:blipFill rotWithShape="1">
                    <a:blip r:embed="rId12"/>
                    <a:srcRect b="27899"/>
                    <a:stretch/>
                  </pic:blipFill>
                  <pic:spPr bwMode="auto">
                    <a:xfrm>
                      <a:off x="0" y="0"/>
                      <a:ext cx="6184900" cy="6074228"/>
                    </a:xfrm>
                    <a:prstGeom prst="rect">
                      <a:avLst/>
                    </a:prstGeom>
                    <a:ln>
                      <a:noFill/>
                    </a:ln>
                    <a:extLst>
                      <a:ext uri="{53640926-AAD7-44D8-BBD7-CCE9431645EC}">
                        <a14:shadowObscured xmlns:a14="http://schemas.microsoft.com/office/drawing/2010/main"/>
                      </a:ext>
                    </a:extLst>
                  </pic:spPr>
                </pic:pic>
              </a:graphicData>
            </a:graphic>
          </wp:inline>
        </w:drawing>
      </w:r>
    </w:p>
    <w:p w14:paraId="65F9F8F0" w14:textId="77777777" w:rsidR="000D0525" w:rsidRDefault="000D0525" w:rsidP="000D0525">
      <w:pPr>
        <w:spacing w:after="120"/>
        <w:jc w:val="both"/>
        <w:rPr>
          <w:rFonts w:ascii="Arial" w:hAnsi="Arial" w:cs="Verdana"/>
          <w:b/>
          <w:sz w:val="22"/>
          <w:szCs w:val="22"/>
          <w:lang w:val="en-US"/>
        </w:rPr>
      </w:pPr>
    </w:p>
    <w:p w14:paraId="41D00ABF" w14:textId="77777777" w:rsidR="000D0525" w:rsidRDefault="000D0525" w:rsidP="000D0525">
      <w:pPr>
        <w:spacing w:after="120"/>
        <w:jc w:val="both"/>
        <w:rPr>
          <w:rFonts w:ascii="Arial" w:hAnsi="Arial" w:cs="Verdana"/>
          <w:b/>
          <w:sz w:val="22"/>
          <w:szCs w:val="22"/>
          <w:lang w:val="en-US"/>
        </w:rPr>
      </w:pPr>
    </w:p>
    <w:p w14:paraId="19902BA9" w14:textId="77777777" w:rsidR="00917AD6" w:rsidRDefault="000D0525" w:rsidP="000D0525">
      <w:pPr>
        <w:spacing w:line="480" w:lineRule="auto"/>
        <w:jc w:val="both"/>
        <w:rPr>
          <w:rFonts w:ascii="Arial" w:hAnsi="Arial"/>
          <w:sz w:val="18"/>
          <w:szCs w:val="18"/>
          <w:lang w:val="en-US"/>
        </w:rPr>
      </w:pPr>
      <w:r w:rsidRPr="00917AD6">
        <w:rPr>
          <w:rFonts w:ascii="Arial" w:hAnsi="Arial" w:cs="Verdana"/>
          <w:b/>
          <w:sz w:val="18"/>
          <w:szCs w:val="18"/>
          <w:lang w:val="en-US"/>
        </w:rPr>
        <w:t>Figure S</w:t>
      </w:r>
      <w:r w:rsidR="00917AD6" w:rsidRPr="00917AD6">
        <w:rPr>
          <w:rFonts w:ascii="Arial" w:hAnsi="Arial" w:cs="Verdana"/>
          <w:b/>
          <w:sz w:val="18"/>
          <w:szCs w:val="18"/>
          <w:lang w:val="en-US"/>
        </w:rPr>
        <w:t>7</w:t>
      </w:r>
      <w:r w:rsidRPr="00917AD6">
        <w:rPr>
          <w:rFonts w:ascii="Arial" w:hAnsi="Arial" w:cs="Verdana"/>
          <w:b/>
          <w:sz w:val="18"/>
          <w:szCs w:val="18"/>
          <w:lang w:val="en-US"/>
        </w:rPr>
        <w:t>. Naïve P14, P14 and DexGP-33 T</w:t>
      </w:r>
      <w:r w:rsidRPr="00917AD6">
        <w:rPr>
          <w:rFonts w:ascii="Arial" w:hAnsi="Arial" w:cs="Verdana"/>
          <w:b/>
          <w:sz w:val="18"/>
          <w:szCs w:val="18"/>
          <w:vertAlign w:val="subscript"/>
          <w:lang w:val="en-US"/>
        </w:rPr>
        <w:t>EFF</w:t>
      </w:r>
      <w:r w:rsidRPr="00917AD6">
        <w:rPr>
          <w:rFonts w:ascii="Arial" w:hAnsi="Arial" w:cs="Verdana"/>
          <w:b/>
          <w:sz w:val="18"/>
          <w:szCs w:val="18"/>
          <w:lang w:val="en-US"/>
        </w:rPr>
        <w:t xml:space="preserve"> expression of a set of genes involved in cell death.</w:t>
      </w:r>
    </w:p>
    <w:p w14:paraId="65390904" w14:textId="12AC3CEA" w:rsidR="000D0525" w:rsidRDefault="000D0525" w:rsidP="000D0525">
      <w:pPr>
        <w:spacing w:line="480" w:lineRule="auto"/>
        <w:jc w:val="both"/>
        <w:rPr>
          <w:rFonts w:ascii="Arial" w:hAnsi="Arial"/>
          <w:sz w:val="18"/>
          <w:szCs w:val="18"/>
          <w:lang w:val="en-US"/>
        </w:rPr>
      </w:pPr>
      <w:r w:rsidRPr="00917AD6">
        <w:rPr>
          <w:rFonts w:ascii="Arial" w:hAnsi="Arial"/>
          <w:sz w:val="18"/>
          <w:szCs w:val="18"/>
          <w:lang w:val="en-US"/>
        </w:rPr>
        <w:t xml:space="preserve">(a) </w:t>
      </w:r>
      <w:r w:rsidRPr="00917AD6">
        <w:rPr>
          <w:rFonts w:ascii="Arial" w:hAnsi="Arial" w:cs="Verdana"/>
          <w:b/>
          <w:sz w:val="18"/>
          <w:szCs w:val="18"/>
          <w:lang w:val="en-US"/>
        </w:rPr>
        <w:t xml:space="preserve"> </w:t>
      </w:r>
      <w:r w:rsidRPr="00917AD6">
        <w:rPr>
          <w:rFonts w:ascii="Arial" w:hAnsi="Arial" w:cs="Arial"/>
          <w:sz w:val="18"/>
          <w:szCs w:val="18"/>
          <w:lang w:val="en-US"/>
        </w:rPr>
        <w:t xml:space="preserve">Relative expression levels of genes in </w:t>
      </w:r>
      <w:r w:rsidRPr="00917AD6">
        <w:rPr>
          <w:rFonts w:ascii="Arial" w:hAnsi="Arial"/>
          <w:sz w:val="18"/>
          <w:szCs w:val="18"/>
          <w:lang w:val="en-US"/>
        </w:rPr>
        <w:t>Dex-GP-33 T</w:t>
      </w:r>
      <w:r w:rsidRPr="00917AD6">
        <w:rPr>
          <w:rFonts w:ascii="Arial" w:hAnsi="Arial"/>
          <w:sz w:val="18"/>
          <w:szCs w:val="18"/>
          <w:vertAlign w:val="subscript"/>
          <w:lang w:val="en-US"/>
        </w:rPr>
        <w:t xml:space="preserve">EFF </w:t>
      </w:r>
      <w:r w:rsidRPr="00917AD6">
        <w:rPr>
          <w:rFonts w:ascii="Arial" w:hAnsi="Arial"/>
          <w:sz w:val="18"/>
          <w:szCs w:val="18"/>
          <w:lang w:val="en-US"/>
        </w:rPr>
        <w:t xml:space="preserve">from control and anti-LFA-1 </w:t>
      </w:r>
      <w:r w:rsidR="004F4CBA">
        <w:rPr>
          <w:rFonts w:ascii="Arial" w:hAnsi="Arial"/>
          <w:sz w:val="18"/>
          <w:szCs w:val="18"/>
          <w:lang w:val="en-US"/>
        </w:rPr>
        <w:t xml:space="preserve">Mab </w:t>
      </w:r>
      <w:r w:rsidRPr="00917AD6">
        <w:rPr>
          <w:rFonts w:ascii="Arial" w:hAnsi="Arial"/>
          <w:sz w:val="18"/>
          <w:szCs w:val="18"/>
          <w:lang w:val="en-US"/>
        </w:rPr>
        <w:t>treated mice in comparison to P14 LFA1</w:t>
      </w:r>
      <w:r w:rsidRPr="00917AD6">
        <w:rPr>
          <w:rFonts w:ascii="Arial" w:hAnsi="Arial"/>
          <w:sz w:val="18"/>
          <w:szCs w:val="18"/>
          <w:vertAlign w:val="superscript"/>
          <w:lang w:val="en-US"/>
        </w:rPr>
        <w:t>+/+</w:t>
      </w:r>
      <w:r w:rsidRPr="00917AD6">
        <w:rPr>
          <w:rFonts w:ascii="Arial" w:hAnsi="Arial"/>
          <w:sz w:val="18"/>
          <w:szCs w:val="18"/>
          <w:lang w:val="en-US"/>
        </w:rPr>
        <w:t xml:space="preserve"> naïve cells.  (b) </w:t>
      </w:r>
      <w:r w:rsidRPr="00917AD6">
        <w:rPr>
          <w:rFonts w:ascii="Arial" w:hAnsi="Arial" w:cs="Arial"/>
          <w:sz w:val="18"/>
          <w:szCs w:val="18"/>
          <w:lang w:val="en-US"/>
        </w:rPr>
        <w:t xml:space="preserve">Relative expression levels of genes in </w:t>
      </w:r>
      <w:r w:rsidRPr="00917AD6">
        <w:rPr>
          <w:rFonts w:ascii="Arial" w:hAnsi="Arial"/>
          <w:sz w:val="18"/>
          <w:szCs w:val="18"/>
          <w:lang w:val="en-US"/>
        </w:rPr>
        <w:t>LFA1</w:t>
      </w:r>
      <w:r w:rsidRPr="00917AD6">
        <w:rPr>
          <w:rFonts w:ascii="Arial" w:hAnsi="Arial"/>
          <w:sz w:val="18"/>
          <w:szCs w:val="18"/>
          <w:vertAlign w:val="superscript"/>
          <w:lang w:val="en-US"/>
        </w:rPr>
        <w:t xml:space="preserve">+/+ </w:t>
      </w:r>
      <w:r w:rsidRPr="00917AD6">
        <w:rPr>
          <w:rFonts w:ascii="Arial" w:hAnsi="Arial"/>
          <w:sz w:val="18"/>
          <w:szCs w:val="18"/>
          <w:lang w:val="en-US"/>
        </w:rPr>
        <w:t>and LFA1</w:t>
      </w:r>
      <w:r w:rsidRPr="00917AD6">
        <w:rPr>
          <w:rFonts w:ascii="Arial" w:hAnsi="Arial"/>
          <w:sz w:val="18"/>
          <w:szCs w:val="18"/>
          <w:vertAlign w:val="superscript"/>
          <w:lang w:val="en-US"/>
        </w:rPr>
        <w:t>-/-</w:t>
      </w:r>
      <w:r w:rsidRPr="00917AD6">
        <w:rPr>
          <w:rFonts w:ascii="Arial" w:hAnsi="Arial"/>
          <w:sz w:val="18"/>
          <w:szCs w:val="18"/>
          <w:lang w:val="en-US"/>
        </w:rPr>
        <w:t xml:space="preserve"> </w:t>
      </w:r>
      <w:r w:rsidR="0002710C" w:rsidRPr="00917AD6">
        <w:rPr>
          <w:rFonts w:ascii="Arial" w:hAnsi="Arial"/>
          <w:sz w:val="18"/>
          <w:szCs w:val="18"/>
          <w:lang w:val="en-US"/>
        </w:rPr>
        <w:t>P14</w:t>
      </w:r>
      <w:r w:rsidR="0002710C">
        <w:rPr>
          <w:rFonts w:ascii="Arial" w:hAnsi="Arial"/>
          <w:sz w:val="18"/>
          <w:szCs w:val="18"/>
          <w:lang w:val="en-US"/>
        </w:rPr>
        <w:t xml:space="preserve"> </w:t>
      </w:r>
      <w:r w:rsidRPr="00917AD6">
        <w:rPr>
          <w:rFonts w:ascii="Arial" w:hAnsi="Arial"/>
          <w:sz w:val="18"/>
          <w:szCs w:val="18"/>
          <w:lang w:val="en-US"/>
        </w:rPr>
        <w:t>T</w:t>
      </w:r>
      <w:r w:rsidRPr="00917AD6">
        <w:rPr>
          <w:rFonts w:ascii="Arial" w:hAnsi="Arial"/>
          <w:sz w:val="18"/>
          <w:szCs w:val="18"/>
          <w:vertAlign w:val="subscript"/>
          <w:lang w:val="en-US"/>
        </w:rPr>
        <w:t>EFF</w:t>
      </w:r>
      <w:r w:rsidRPr="00917AD6">
        <w:rPr>
          <w:rFonts w:ascii="Arial" w:hAnsi="Arial"/>
          <w:sz w:val="18"/>
          <w:szCs w:val="18"/>
          <w:lang w:val="en-US"/>
        </w:rPr>
        <w:t xml:space="preserve"> in comparison to LFA1</w:t>
      </w:r>
      <w:r w:rsidRPr="00917AD6">
        <w:rPr>
          <w:rFonts w:ascii="Arial" w:hAnsi="Arial"/>
          <w:sz w:val="18"/>
          <w:szCs w:val="18"/>
          <w:vertAlign w:val="superscript"/>
          <w:lang w:val="en-US"/>
        </w:rPr>
        <w:t>+/+</w:t>
      </w:r>
      <w:r w:rsidRPr="00917AD6">
        <w:rPr>
          <w:rFonts w:ascii="Arial" w:hAnsi="Arial"/>
          <w:sz w:val="18"/>
          <w:szCs w:val="18"/>
          <w:lang w:val="en-US"/>
        </w:rPr>
        <w:t xml:space="preserve"> and LFA1</w:t>
      </w:r>
      <w:r w:rsidRPr="00917AD6">
        <w:rPr>
          <w:rFonts w:ascii="Arial" w:hAnsi="Arial"/>
          <w:sz w:val="18"/>
          <w:szCs w:val="18"/>
          <w:vertAlign w:val="superscript"/>
          <w:lang w:val="en-US"/>
        </w:rPr>
        <w:t>-/-</w:t>
      </w:r>
      <w:r w:rsidRPr="00917AD6">
        <w:rPr>
          <w:rFonts w:ascii="Arial" w:hAnsi="Arial"/>
          <w:sz w:val="18"/>
          <w:szCs w:val="18"/>
          <w:lang w:val="en-US"/>
        </w:rPr>
        <w:t xml:space="preserve"> </w:t>
      </w:r>
      <w:r w:rsidR="0002710C" w:rsidRPr="00917AD6">
        <w:rPr>
          <w:rFonts w:ascii="Arial" w:hAnsi="Arial"/>
          <w:sz w:val="18"/>
          <w:szCs w:val="18"/>
          <w:lang w:val="en-US"/>
        </w:rPr>
        <w:t xml:space="preserve">P14 </w:t>
      </w:r>
      <w:r w:rsidRPr="00917AD6">
        <w:rPr>
          <w:rFonts w:ascii="Arial" w:hAnsi="Arial"/>
          <w:sz w:val="18"/>
          <w:szCs w:val="18"/>
          <w:lang w:val="en-US"/>
        </w:rPr>
        <w:t>naïve cells.</w:t>
      </w:r>
    </w:p>
    <w:p w14:paraId="36CF5C04" w14:textId="1CC51E2E" w:rsidR="005B5159" w:rsidRDefault="005B5159" w:rsidP="000D0525">
      <w:pPr>
        <w:spacing w:line="480" w:lineRule="auto"/>
        <w:jc w:val="both"/>
        <w:rPr>
          <w:rFonts w:ascii="Arial" w:hAnsi="Arial"/>
          <w:sz w:val="18"/>
          <w:szCs w:val="18"/>
          <w:lang w:val="en-US"/>
        </w:rPr>
      </w:pPr>
    </w:p>
    <w:p w14:paraId="51238022" w14:textId="59F785BF" w:rsidR="005B5159" w:rsidRDefault="005B5159" w:rsidP="000D0525">
      <w:pPr>
        <w:spacing w:line="480" w:lineRule="auto"/>
        <w:jc w:val="both"/>
        <w:rPr>
          <w:rFonts w:ascii="Arial" w:hAnsi="Arial"/>
          <w:sz w:val="18"/>
          <w:szCs w:val="18"/>
          <w:lang w:val="en-US"/>
        </w:rPr>
      </w:pPr>
    </w:p>
    <w:p w14:paraId="07D2D1B9" w14:textId="3DC457CF" w:rsidR="005B5159" w:rsidRDefault="005B5159" w:rsidP="000D0525">
      <w:pPr>
        <w:spacing w:line="480" w:lineRule="auto"/>
        <w:jc w:val="both"/>
        <w:rPr>
          <w:rFonts w:ascii="Arial" w:hAnsi="Arial"/>
          <w:sz w:val="18"/>
          <w:szCs w:val="18"/>
          <w:lang w:val="en-US"/>
        </w:rPr>
      </w:pPr>
    </w:p>
    <w:p w14:paraId="3069837B" w14:textId="5AE5D302" w:rsidR="005B5159" w:rsidRDefault="005B5159" w:rsidP="000D0525">
      <w:pPr>
        <w:spacing w:line="480" w:lineRule="auto"/>
        <w:jc w:val="both"/>
        <w:rPr>
          <w:rFonts w:ascii="Arial" w:hAnsi="Arial"/>
          <w:sz w:val="18"/>
          <w:szCs w:val="18"/>
          <w:lang w:val="en-US"/>
        </w:rPr>
      </w:pPr>
    </w:p>
    <w:p w14:paraId="3DDCDEF3" w14:textId="5D61E758" w:rsidR="005B5159" w:rsidRDefault="005B5159" w:rsidP="000D0525">
      <w:pPr>
        <w:spacing w:line="480" w:lineRule="auto"/>
        <w:jc w:val="both"/>
        <w:rPr>
          <w:rFonts w:ascii="Arial" w:hAnsi="Arial"/>
          <w:sz w:val="18"/>
          <w:szCs w:val="18"/>
          <w:lang w:val="en-US"/>
        </w:rPr>
      </w:pPr>
    </w:p>
    <w:p w14:paraId="0FF4F75C" w14:textId="2468B928" w:rsidR="005B5159" w:rsidRDefault="005B5159" w:rsidP="000D0525">
      <w:pPr>
        <w:spacing w:line="480" w:lineRule="auto"/>
        <w:jc w:val="both"/>
        <w:rPr>
          <w:rFonts w:ascii="Arial" w:hAnsi="Arial"/>
          <w:sz w:val="18"/>
          <w:szCs w:val="18"/>
          <w:lang w:val="en-US"/>
        </w:rPr>
      </w:pPr>
    </w:p>
    <w:p w14:paraId="3EC568C4" w14:textId="730B6385" w:rsidR="00F83487" w:rsidRDefault="007C0FA1" w:rsidP="009557B0">
      <w:pPr>
        <w:spacing w:line="480" w:lineRule="auto"/>
        <w:jc w:val="both"/>
        <w:rPr>
          <w:rFonts w:ascii="Arial" w:hAnsi="Arial" w:cs="Verdana"/>
          <w:b/>
          <w:sz w:val="18"/>
          <w:szCs w:val="18"/>
          <w:lang w:val="en-US"/>
        </w:rPr>
      </w:pPr>
      <w:r>
        <w:rPr>
          <w:rFonts w:ascii="Arial" w:hAnsi="Arial" w:cs="Verdana"/>
          <w:b/>
          <w:noProof/>
          <w:sz w:val="18"/>
          <w:szCs w:val="18"/>
          <w:lang w:val="en-IN" w:eastAsia="en-IN"/>
        </w:rPr>
        <w:lastRenderedPageBreak/>
        <w:drawing>
          <wp:inline distT="0" distB="0" distL="0" distR="0" wp14:anchorId="16F5E632" wp14:editId="683167B9">
            <wp:extent cx="6020925" cy="85271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8.png"/>
                    <pic:cNvPicPr/>
                  </pic:nvPicPr>
                  <pic:blipFill rotWithShape="1">
                    <a:blip r:embed="rId13"/>
                    <a:srcRect b="1187"/>
                    <a:stretch/>
                  </pic:blipFill>
                  <pic:spPr bwMode="auto">
                    <a:xfrm>
                      <a:off x="0" y="0"/>
                      <a:ext cx="6038397" cy="8551887"/>
                    </a:xfrm>
                    <a:prstGeom prst="rect">
                      <a:avLst/>
                    </a:prstGeom>
                    <a:ln>
                      <a:noFill/>
                    </a:ln>
                    <a:extLst>
                      <a:ext uri="{53640926-AAD7-44D8-BBD7-CCE9431645EC}">
                        <a14:shadowObscured xmlns:a14="http://schemas.microsoft.com/office/drawing/2010/main"/>
                      </a:ext>
                    </a:extLst>
                  </pic:spPr>
                </pic:pic>
              </a:graphicData>
            </a:graphic>
          </wp:inline>
        </w:drawing>
      </w:r>
      <w:r w:rsidR="009557B0" w:rsidRPr="009557B0">
        <w:rPr>
          <w:rFonts w:ascii="Arial" w:hAnsi="Arial" w:cs="Verdana"/>
          <w:b/>
          <w:sz w:val="18"/>
          <w:szCs w:val="18"/>
          <w:lang w:val="en-US"/>
        </w:rPr>
        <w:t xml:space="preserve"> </w:t>
      </w:r>
    </w:p>
    <w:p w14:paraId="265B6EFB" w14:textId="5A7B1444" w:rsidR="009557B0" w:rsidRDefault="009557B0" w:rsidP="009557B0">
      <w:pPr>
        <w:spacing w:line="480" w:lineRule="auto"/>
        <w:jc w:val="both"/>
        <w:rPr>
          <w:rFonts w:ascii="Arial" w:hAnsi="Arial"/>
          <w:sz w:val="18"/>
          <w:szCs w:val="18"/>
          <w:lang w:val="en-US"/>
        </w:rPr>
      </w:pPr>
      <w:r w:rsidRPr="00917AD6">
        <w:rPr>
          <w:rFonts w:ascii="Arial" w:hAnsi="Arial" w:cs="Verdana"/>
          <w:b/>
          <w:sz w:val="18"/>
          <w:szCs w:val="18"/>
          <w:lang w:val="en-US"/>
        </w:rPr>
        <w:t>Figure S</w:t>
      </w:r>
      <w:r>
        <w:rPr>
          <w:rFonts w:ascii="Arial" w:hAnsi="Arial" w:cs="Verdana"/>
          <w:b/>
          <w:sz w:val="18"/>
          <w:szCs w:val="18"/>
          <w:lang w:val="en-US"/>
        </w:rPr>
        <w:t>8</w:t>
      </w:r>
      <w:r w:rsidRPr="00917AD6">
        <w:rPr>
          <w:rFonts w:ascii="Arial" w:hAnsi="Arial" w:cs="Verdana"/>
          <w:b/>
          <w:sz w:val="18"/>
          <w:szCs w:val="18"/>
          <w:lang w:val="en-US"/>
        </w:rPr>
        <w:t>.</w:t>
      </w:r>
      <w:r>
        <w:rPr>
          <w:rFonts w:ascii="Arial" w:hAnsi="Arial" w:cs="Verdana"/>
          <w:b/>
          <w:sz w:val="18"/>
          <w:szCs w:val="18"/>
          <w:lang w:val="en-US"/>
        </w:rPr>
        <w:t xml:space="preserve"> </w:t>
      </w:r>
      <w:r w:rsidRPr="00C5771E">
        <w:rPr>
          <w:rFonts w:ascii="Arial" w:hAnsi="Arial"/>
          <w:b/>
          <w:sz w:val="18"/>
          <w:szCs w:val="18"/>
          <w:lang w:val="en-US"/>
        </w:rPr>
        <w:t>Transcriptional signatures of exhaustion, anergy and deletion tolerance in T</w:t>
      </w:r>
      <w:r w:rsidRPr="00C5771E">
        <w:rPr>
          <w:rFonts w:ascii="Arial" w:hAnsi="Arial"/>
          <w:b/>
          <w:sz w:val="18"/>
          <w:szCs w:val="18"/>
          <w:vertAlign w:val="subscript"/>
          <w:lang w:val="en-US"/>
        </w:rPr>
        <w:t>EFF</w:t>
      </w:r>
      <w:r w:rsidRPr="00C5771E">
        <w:rPr>
          <w:rFonts w:ascii="Arial" w:hAnsi="Arial"/>
          <w:b/>
          <w:sz w:val="18"/>
          <w:szCs w:val="18"/>
          <w:lang w:val="en-US"/>
        </w:rPr>
        <w:t xml:space="preserve">  in </w:t>
      </w:r>
      <w:r>
        <w:rPr>
          <w:rFonts w:ascii="Arial" w:hAnsi="Arial"/>
          <w:b/>
          <w:sz w:val="18"/>
          <w:szCs w:val="18"/>
          <w:lang w:val="en-US"/>
        </w:rPr>
        <w:t>P14 T</w:t>
      </w:r>
      <w:r w:rsidRPr="00423EC0">
        <w:rPr>
          <w:rFonts w:ascii="Arial" w:hAnsi="Arial"/>
          <w:b/>
          <w:sz w:val="18"/>
          <w:szCs w:val="18"/>
          <w:vertAlign w:val="subscript"/>
          <w:lang w:val="en-US"/>
        </w:rPr>
        <w:t>EFF</w:t>
      </w:r>
      <w:r w:rsidRPr="00C5771E">
        <w:rPr>
          <w:rFonts w:ascii="Arial" w:hAnsi="Arial"/>
          <w:b/>
          <w:sz w:val="18"/>
          <w:szCs w:val="18"/>
          <w:lang w:val="en-US"/>
        </w:rPr>
        <w:t>.</w:t>
      </w:r>
      <w:r>
        <w:rPr>
          <w:rFonts w:ascii="Arial" w:hAnsi="Arial"/>
          <w:sz w:val="18"/>
          <w:szCs w:val="18"/>
          <w:lang w:val="en-US"/>
        </w:rPr>
        <w:t xml:space="preserve"> Geneset enrichment analysis (GSEA) on T cells exhaustion </w:t>
      </w:r>
      <w:r>
        <w:rPr>
          <w:rFonts w:ascii="Arial" w:hAnsi="Arial"/>
          <w:sz w:val="18"/>
          <w:szCs w:val="18"/>
          <w:lang w:val="en-US"/>
        </w:rPr>
        <w:fldChar w:fldCharType="begin"/>
      </w:r>
      <w:r w:rsidR="00E35721">
        <w:rPr>
          <w:rFonts w:ascii="Arial" w:hAnsi="Arial"/>
          <w:sz w:val="18"/>
          <w:szCs w:val="18"/>
          <w:lang w:val="en-US"/>
        </w:rPr>
        <w:instrText xml:space="preserve"> ADDIN ZOTERO_ITEM CSL_CITATION {"citationID":"t724myTI","properties":{"formattedCitation":"\\super 41\\nosupersub{}","plainCitation":"41","noteIndex":0},"citationItems":[{"id":36408,"uris":["http://zotero.org/users/5828886/items/VR7LK9SK"],"uri":["http://zotero.org/users/5828886/items/VR7LK9SK"],"itemData":{"id":36408,"type":"article-journal","abstract":"Chronic viral infections often result in T cell exhaustion. To determine the molecular signature of exhaustion, we compared the gene-expression profiles of dysfunctional lymphocytic choriomeningitis virus (LCMV)-specific CD8(+) T cells from chronic infection to functional LCMV-specific effector and memory CD8(+) T cells generated after acute infection. These data showed that exhausted CD8(+) T cells: (1) overexpressed several inhibitory receptors, including PD-1, (2) had major changes in T cell receptor and cytokine signaling pathways, (3) displayed altered expression of genes involved in chemotaxis, adhesion, and migration, (4) expressed a distinct set of transcription factors, and (5) had profound metabolic and bioenergetic deficiencies. T cell exhaustion was progressive, and gene-expression profiling indicated that T cell exhaustion and anergy were distinct processes. Thus, functional exhaustion is probably due to both active suppression and passive defects in signaling and metabolism. These results provide a framework for designing rational immunotherapies during chronic infections.","container-title":"Immunity","DOI":"10.1016/j.immuni.2007.09.006","ISSN":"1074-7613","issue":"4","journalAbbreviation":"Immunity","language":"eng","note":"PMID: 17950003","page":"670-684","source":"PubMed","title":"Molecular signature of CD8+ T cell exhaustion during chronic viral infection","volume":"27","author":[{"family":"Wherry","given":"E. John"},{"family":"Ha","given":"Sang-Jun"},{"family":"Kaech","given":"Susan M."},{"family":"Haining","given":"W. Nicholas"},{"family":"Sarkar","given":"Surojit"},{"family":"Kalia","given":"Vandana"},{"family":"Subramaniam","given":"Shruti"},{"family":"Blattman","given":"Joseph N."},{"family":"Barber","given":"Daniel L."},{"family":"Ahmed","given":"Rafi"}],"issued":{"date-parts":[["2007",10]]}}}],"schema":"https://github.com/citation-style-language/schema/raw/master/csl-citation.json"} </w:instrText>
      </w:r>
      <w:r>
        <w:rPr>
          <w:rFonts w:ascii="Arial" w:hAnsi="Arial"/>
          <w:sz w:val="18"/>
          <w:szCs w:val="18"/>
          <w:lang w:val="en-US"/>
        </w:rPr>
        <w:fldChar w:fldCharType="separate"/>
      </w:r>
      <w:r w:rsidR="00E35721" w:rsidRPr="00E35721">
        <w:rPr>
          <w:rFonts w:ascii="Arial" w:hAnsi="Arial" w:cs="Arial"/>
          <w:sz w:val="18"/>
          <w:vertAlign w:val="superscript"/>
          <w:lang w:val="en-US"/>
        </w:rPr>
        <w:t>41</w:t>
      </w:r>
      <w:r>
        <w:rPr>
          <w:rFonts w:ascii="Arial" w:hAnsi="Arial"/>
          <w:sz w:val="18"/>
          <w:szCs w:val="18"/>
          <w:lang w:val="en-US"/>
        </w:rPr>
        <w:fldChar w:fldCharType="end"/>
      </w:r>
      <w:r>
        <w:rPr>
          <w:rFonts w:ascii="Arial" w:hAnsi="Arial"/>
          <w:sz w:val="18"/>
          <w:szCs w:val="18"/>
          <w:lang w:val="en-US"/>
        </w:rPr>
        <w:t xml:space="preserve">, anergy </w:t>
      </w:r>
      <w:r>
        <w:rPr>
          <w:rFonts w:ascii="Arial" w:hAnsi="Arial"/>
          <w:sz w:val="18"/>
          <w:szCs w:val="18"/>
          <w:lang w:val="en-US"/>
        </w:rPr>
        <w:fldChar w:fldCharType="begin"/>
      </w:r>
      <w:r w:rsidR="00E35721">
        <w:rPr>
          <w:rFonts w:ascii="Arial" w:hAnsi="Arial"/>
          <w:sz w:val="18"/>
          <w:szCs w:val="18"/>
          <w:lang w:val="en-US"/>
        </w:rPr>
        <w:instrText xml:space="preserve"> ADDIN ZOTERO_ITEM CSL_CITATION {"citationID":"cEU22Yrq","properties":{"formattedCitation":"\\super 40\\nosupersub{}","plainCitation":"40","noteIndex":0},"citationItems":[{"id":37086,"uris":["http://zotero.org/users/5828886/items/59L9YCAE"],"uri":["http://zotero.org/users/5828886/items/59L9YCAE"],"itemData":{"id":37086,"type":"article-journal","abstract":"T cell receptor engagement in the absence of proper accessory signals leads to T cell anergy. E3 ligases are involved in maintaining the anergic state. However, the specific molecules responsible for the induction of anergy have yet to be elucidated. Using microarray analysis we have identified here early growth response gene 2 (Egr-2) and Egr-3 as key negative regulators of T cell activation. Overexpression of Egr2 and Egr3 was associated with an increase in the E3 ubiquitin ligase Cbl-b and inhibition of T cell activation. Conversely, T cells from Egr3(-/-) mice had lower expression of Cbl-b and were resistant to in vivo peptide-induced tolerance. These data support the idea that Egr-2 and Egr-3 are involved in promoting a T cell receptor-induced negative regulatory genetic program.","container-title":"Nature Immunology","DOI":"10.1038/ni1193","ISSN":"1529-2908","issue":"5","journalAbbreviation":"Nat. Immunol.","language":"eng","note":"PMID: 15834410","page":"472-480","source":"PubMed","title":"Egr-2 and Egr-3 are negative regulators of T cell activation","volume":"6","author":[{"family":"Safford","given":"Meredith"},{"family":"Collins","given":"Samuel"},{"family":"Lutz","given":"Michael A."},{"family":"Allen","given":"Amy"},{"family":"Huang","given":"Ching-Tai"},{"family":"Kowalski","given":"Jeanne"},{"family":"Blackford","given":"Amanda"},{"family":"Horton","given":"Maureen R."},{"family":"Drake","given":"Charles"},{"family":"Schwartz","given":"Ronald H."},{"family":"Powell","given":"Jonathan D."}],"issued":{"date-parts":[["2005",5]]}}}],"schema":"https://github.com/citation-style-language/schema/raw/master/csl-citation.json"} </w:instrText>
      </w:r>
      <w:r>
        <w:rPr>
          <w:rFonts w:ascii="Arial" w:hAnsi="Arial"/>
          <w:sz w:val="18"/>
          <w:szCs w:val="18"/>
          <w:lang w:val="en-US"/>
        </w:rPr>
        <w:fldChar w:fldCharType="separate"/>
      </w:r>
      <w:r w:rsidR="00E35721" w:rsidRPr="00E35721">
        <w:rPr>
          <w:rFonts w:ascii="Arial" w:hAnsi="Arial" w:cs="Arial"/>
          <w:sz w:val="18"/>
          <w:vertAlign w:val="superscript"/>
          <w:lang w:val="en-US"/>
        </w:rPr>
        <w:t>40</w:t>
      </w:r>
      <w:r>
        <w:rPr>
          <w:rFonts w:ascii="Arial" w:hAnsi="Arial"/>
          <w:sz w:val="18"/>
          <w:szCs w:val="18"/>
          <w:lang w:val="en-US"/>
        </w:rPr>
        <w:fldChar w:fldCharType="end"/>
      </w:r>
      <w:r>
        <w:rPr>
          <w:rFonts w:ascii="Arial" w:hAnsi="Arial"/>
          <w:sz w:val="18"/>
          <w:szCs w:val="18"/>
          <w:lang w:val="en-US"/>
        </w:rPr>
        <w:t xml:space="preserve"> and deletion tolerance </w:t>
      </w:r>
      <w:r>
        <w:rPr>
          <w:rFonts w:ascii="Arial" w:hAnsi="Arial"/>
          <w:sz w:val="18"/>
          <w:szCs w:val="18"/>
          <w:lang w:val="en-US"/>
        </w:rPr>
        <w:fldChar w:fldCharType="begin"/>
      </w:r>
      <w:r w:rsidR="00E35721">
        <w:rPr>
          <w:rFonts w:ascii="Arial" w:hAnsi="Arial"/>
          <w:sz w:val="18"/>
          <w:szCs w:val="18"/>
          <w:lang w:val="en-US"/>
        </w:rPr>
        <w:instrText xml:space="preserve"> ADDIN ZOTERO_ITEM CSL_CITATION {"citationID":"Z8XwLiEL","properties":{"formattedCitation":"\\super 39\\nosupersub{}","plainCitation":"39","noteIndex":0},"citationItems":[{"id":37083,"uris":["http://zotero.org/users/5828886/items/7W5GTINB"],"uri":["http://zotero.org/users/5828886/items/7W5GTINB"],"itemData":{"id":37083,"type":"article-journal","abstract":"Peripheral tolerance induction is critical for the maintenance of self-tolerance and can be mediated by immunoregulatory T cells or by direct induction of T-cell anergy or deletion. Although the molecular processes underlying anergy have been extensively studied, little is known about the molecular basis for peripheral T-cell deletion. Here, we determined the gene expression signature of peripheral CD8(+) T cells undergoing deletional tolerance, relative to those undergoing immunogenic priming or lymphopenia-induced proliferation. From these data, we report the first detailed molecular signature of cells undergoing deletion. Consistent with defective cytolysis, these cells exhibited deficiencies in granzyme up-regulation. Furthermore, they showed antigen-driven Bcl-2 down-regulation and early up-regulation of the proapoptotic protein Bim, consistent with the requirement of this BH3-only protein for peripheral T-cell deletion. Bim up-regulation was paralleled by defective interleukin-7 receptor alpha (IL-7Ralpha) chain reexpression, suggesting that Bim-dependent death may be triggered by loss of IL-7/IL-7R signaling. Finally, we observed parallels in molecular signatures between deletion and anergy, suggesting that these tolerance pathways may not be as molecularly distinct as previously surmised.","container-title":"Blood","DOI":"10.1182/blood-2008-10-185223","ISSN":"1528-0020","issue":"19","journalAbbreviation":"Blood","language":"eng","note":"PMID: 19204323\nPMCID: PMC2680364","page":"4575-4585","source":"PubMed","title":"The molecular signature of CD8+ T cells undergoing deletional tolerance","volume":"113","author":[{"family":"Parish","given":"Ian A."},{"family":"Rao","given":"Sudha"},{"family":"Smyth","given":"Gordon K."},{"family":"Juelich","given":"Torsten"},{"family":"Denyer","given":"Gareth S."},{"family":"Davey","given":"Gayle M."},{"family":"Strasser","given":"Andreas"},{"family":"Heath","given":"William R."}],"issued":{"date-parts":[["2009",5,7]]}}}],"schema":"https://github.com/citation-style-language/schema/raw/master/csl-citation.json"} </w:instrText>
      </w:r>
      <w:r>
        <w:rPr>
          <w:rFonts w:ascii="Arial" w:hAnsi="Arial"/>
          <w:sz w:val="18"/>
          <w:szCs w:val="18"/>
          <w:lang w:val="en-US"/>
        </w:rPr>
        <w:fldChar w:fldCharType="separate"/>
      </w:r>
      <w:r w:rsidR="00E35721" w:rsidRPr="00E35721">
        <w:rPr>
          <w:rFonts w:ascii="Arial" w:hAnsi="Arial" w:cs="Arial"/>
          <w:sz w:val="18"/>
          <w:vertAlign w:val="superscript"/>
          <w:lang w:val="en-US"/>
        </w:rPr>
        <w:t>39</w:t>
      </w:r>
      <w:r>
        <w:rPr>
          <w:rFonts w:ascii="Arial" w:hAnsi="Arial"/>
          <w:sz w:val="18"/>
          <w:szCs w:val="18"/>
          <w:lang w:val="en-US"/>
        </w:rPr>
        <w:fldChar w:fldCharType="end"/>
      </w:r>
      <w:r>
        <w:rPr>
          <w:rFonts w:ascii="Arial" w:hAnsi="Arial"/>
          <w:sz w:val="18"/>
          <w:szCs w:val="18"/>
          <w:lang w:val="en-US"/>
        </w:rPr>
        <w:t>signatures from MSigDB v7.1 (Broad institute) was performed on day 9 P14 T</w:t>
      </w:r>
      <w:r w:rsidRPr="00D30673">
        <w:rPr>
          <w:rFonts w:ascii="Arial" w:hAnsi="Arial"/>
          <w:sz w:val="18"/>
          <w:szCs w:val="18"/>
          <w:vertAlign w:val="subscript"/>
          <w:lang w:val="en-US"/>
        </w:rPr>
        <w:t>EFF</w:t>
      </w:r>
      <w:r>
        <w:rPr>
          <w:rFonts w:ascii="Arial" w:hAnsi="Arial"/>
          <w:sz w:val="18"/>
          <w:szCs w:val="18"/>
          <w:lang w:val="en-US"/>
        </w:rPr>
        <w:t xml:space="preserve"> from LC</w:t>
      </w:r>
      <w:r w:rsidR="00E14FA8">
        <w:rPr>
          <w:rFonts w:ascii="Arial" w:hAnsi="Arial"/>
          <w:sz w:val="18"/>
          <w:szCs w:val="18"/>
          <w:lang w:val="en-US"/>
        </w:rPr>
        <w:t>M</w:t>
      </w:r>
      <w:r>
        <w:rPr>
          <w:rFonts w:ascii="Arial" w:hAnsi="Arial"/>
          <w:sz w:val="18"/>
          <w:szCs w:val="18"/>
          <w:lang w:val="en-US"/>
        </w:rPr>
        <w:t>V-C</w:t>
      </w:r>
      <w:r w:rsidR="00E14FA8">
        <w:rPr>
          <w:rFonts w:ascii="Arial" w:hAnsi="Arial"/>
          <w:sz w:val="18"/>
          <w:szCs w:val="18"/>
          <w:lang w:val="en-US"/>
        </w:rPr>
        <w:t>L</w:t>
      </w:r>
      <w:r>
        <w:rPr>
          <w:rFonts w:ascii="Arial" w:hAnsi="Arial"/>
          <w:sz w:val="18"/>
          <w:szCs w:val="18"/>
          <w:lang w:val="en-US"/>
        </w:rPr>
        <w:t xml:space="preserve">13 infection mice. </w:t>
      </w:r>
    </w:p>
    <w:p w14:paraId="60940427" w14:textId="5D187AF6" w:rsidR="009C619A" w:rsidRDefault="009C619A" w:rsidP="009C619A">
      <w:pPr>
        <w:spacing w:line="480" w:lineRule="auto"/>
        <w:jc w:val="center"/>
        <w:rPr>
          <w:rFonts w:ascii="Arial" w:hAnsi="Arial"/>
          <w:sz w:val="18"/>
          <w:szCs w:val="18"/>
          <w:lang w:val="en-US"/>
        </w:rPr>
      </w:pPr>
    </w:p>
    <w:p w14:paraId="4E61D6F8" w14:textId="2A884D3D" w:rsidR="00423EC0" w:rsidRDefault="00175B05" w:rsidP="00423EC0">
      <w:pPr>
        <w:spacing w:line="480" w:lineRule="auto"/>
        <w:jc w:val="both"/>
        <w:rPr>
          <w:rFonts w:ascii="Arial" w:hAnsi="Arial" w:cs="Verdana"/>
          <w:b/>
          <w:sz w:val="18"/>
          <w:szCs w:val="18"/>
          <w:lang w:val="en-US"/>
        </w:rPr>
      </w:pPr>
      <w:r>
        <w:rPr>
          <w:rFonts w:ascii="Arial" w:hAnsi="Arial" w:cs="Verdana"/>
          <w:b/>
          <w:noProof/>
          <w:sz w:val="18"/>
          <w:szCs w:val="18"/>
          <w:lang w:val="en-IN" w:eastAsia="en-IN"/>
        </w:rPr>
        <w:drawing>
          <wp:inline distT="0" distB="0" distL="0" distR="0" wp14:anchorId="4A07E8B0" wp14:editId="6AB89350">
            <wp:extent cx="5784550" cy="8178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9.png"/>
                    <pic:cNvPicPr/>
                  </pic:nvPicPr>
                  <pic:blipFill rotWithShape="1">
                    <a:blip r:embed="rId14"/>
                    <a:srcRect b="1387"/>
                    <a:stretch/>
                  </pic:blipFill>
                  <pic:spPr bwMode="auto">
                    <a:xfrm>
                      <a:off x="0" y="0"/>
                      <a:ext cx="5798225" cy="8198135"/>
                    </a:xfrm>
                    <a:prstGeom prst="rect">
                      <a:avLst/>
                    </a:prstGeom>
                    <a:ln>
                      <a:noFill/>
                    </a:ln>
                    <a:extLst>
                      <a:ext uri="{53640926-AAD7-44D8-BBD7-CCE9431645EC}">
                        <a14:shadowObscured xmlns:a14="http://schemas.microsoft.com/office/drawing/2010/main"/>
                      </a:ext>
                    </a:extLst>
                  </pic:spPr>
                </pic:pic>
              </a:graphicData>
            </a:graphic>
          </wp:inline>
        </w:drawing>
      </w:r>
    </w:p>
    <w:p w14:paraId="38B2C265" w14:textId="3AB6EFAC" w:rsidR="009C619A" w:rsidRDefault="00A87C82" w:rsidP="00423EC0">
      <w:pPr>
        <w:spacing w:line="480" w:lineRule="auto"/>
        <w:jc w:val="both"/>
        <w:rPr>
          <w:rFonts w:ascii="Arial" w:hAnsi="Arial"/>
          <w:sz w:val="18"/>
          <w:szCs w:val="18"/>
          <w:lang w:val="en-US"/>
        </w:rPr>
      </w:pPr>
      <w:r w:rsidRPr="00917AD6">
        <w:rPr>
          <w:rFonts w:ascii="Arial" w:hAnsi="Arial" w:cs="Verdana"/>
          <w:b/>
          <w:sz w:val="18"/>
          <w:szCs w:val="18"/>
          <w:lang w:val="en-US"/>
        </w:rPr>
        <w:t>Figure S</w:t>
      </w:r>
      <w:r w:rsidR="0023491E">
        <w:rPr>
          <w:rFonts w:ascii="Arial" w:hAnsi="Arial" w:cs="Verdana"/>
          <w:b/>
          <w:sz w:val="18"/>
          <w:szCs w:val="18"/>
          <w:lang w:val="en-US"/>
        </w:rPr>
        <w:t>9</w:t>
      </w:r>
      <w:r w:rsidRPr="00917AD6">
        <w:rPr>
          <w:rFonts w:ascii="Arial" w:hAnsi="Arial" w:cs="Verdana"/>
          <w:b/>
          <w:sz w:val="18"/>
          <w:szCs w:val="18"/>
          <w:lang w:val="en-US"/>
        </w:rPr>
        <w:t>.</w:t>
      </w:r>
      <w:r w:rsidR="00376B3C">
        <w:rPr>
          <w:rFonts w:ascii="Arial" w:hAnsi="Arial" w:cs="Verdana"/>
          <w:b/>
          <w:sz w:val="18"/>
          <w:szCs w:val="18"/>
          <w:lang w:val="en-US"/>
        </w:rPr>
        <w:t xml:space="preserve"> </w:t>
      </w:r>
      <w:r w:rsidR="00376B3C" w:rsidRPr="00C5771E">
        <w:rPr>
          <w:rFonts w:ascii="Arial" w:hAnsi="Arial"/>
          <w:b/>
          <w:sz w:val="18"/>
          <w:szCs w:val="18"/>
          <w:lang w:val="en-US"/>
        </w:rPr>
        <w:t xml:space="preserve">Transcriptional signatures of exhaustion, anergy and deletion tolerance in </w:t>
      </w:r>
      <w:r w:rsidR="009557B0">
        <w:rPr>
          <w:rFonts w:ascii="Arial" w:hAnsi="Arial"/>
          <w:b/>
          <w:sz w:val="18"/>
          <w:szCs w:val="18"/>
          <w:lang w:val="en-US"/>
        </w:rPr>
        <w:t>Dex-GP33 specific</w:t>
      </w:r>
      <w:r w:rsidR="00376B3C" w:rsidRPr="00C5771E">
        <w:rPr>
          <w:rFonts w:ascii="Arial" w:hAnsi="Arial"/>
          <w:b/>
          <w:sz w:val="18"/>
          <w:szCs w:val="18"/>
          <w:lang w:val="en-US"/>
        </w:rPr>
        <w:t>.</w:t>
      </w:r>
      <w:r w:rsidR="00376B3C">
        <w:rPr>
          <w:rFonts w:ascii="Arial" w:hAnsi="Arial"/>
          <w:sz w:val="18"/>
          <w:szCs w:val="18"/>
          <w:lang w:val="en-US"/>
        </w:rPr>
        <w:t xml:space="preserve"> Geneset enrichment analysis (GSEA) on T cells exhaustion </w:t>
      </w:r>
      <w:r w:rsidR="00376B3C">
        <w:rPr>
          <w:rFonts w:ascii="Arial" w:hAnsi="Arial"/>
          <w:sz w:val="18"/>
          <w:szCs w:val="18"/>
          <w:lang w:val="en-US"/>
        </w:rPr>
        <w:fldChar w:fldCharType="begin"/>
      </w:r>
      <w:r w:rsidR="00E35721">
        <w:rPr>
          <w:rFonts w:ascii="Arial" w:hAnsi="Arial"/>
          <w:sz w:val="18"/>
          <w:szCs w:val="18"/>
          <w:lang w:val="en-US"/>
        </w:rPr>
        <w:instrText xml:space="preserve"> ADDIN ZOTERO_ITEM CSL_CITATION {"citationID":"9wHDqikm","properties":{"formattedCitation":"\\super 41\\nosupersub{}","plainCitation":"41","noteIndex":0},"citationItems":[{"id":36408,"uris":["http://zotero.org/users/5828886/items/VR7LK9SK"],"uri":["http://zotero.org/users/5828886/items/VR7LK9SK"],"itemData":{"id":36408,"type":"article-journal","abstract":"Chronic viral infections often result in T cell exhaustion. To determine the molecular signature of exhaustion, we compared the gene-expression profiles of dysfunctional lymphocytic choriomeningitis virus (LCMV)-specific CD8(+) T cells from chronic infection to functional LCMV-specific effector and memory CD8(+) T cells generated after acute infection. These data showed that exhausted CD8(+) T cells: (1) overexpressed several inhibitory receptors, including PD-1, (2) had major changes in T cell receptor and cytokine signaling pathways, (3) displayed altered expression of genes involved in chemotaxis, adhesion, and migration, (4) expressed a distinct set of transcription factors, and (5) had profound metabolic and bioenergetic deficiencies. T cell exhaustion was progressive, and gene-expression profiling indicated that T cell exhaustion and anergy were distinct processes. Thus, functional exhaustion is probably due to both active suppression and passive defects in signaling and metabolism. These results provide a framework for designing rational immunotherapies during chronic infections.","container-title":"Immunity","DOI":"10.1016/j.immuni.2007.09.006","ISSN":"1074-7613","issue":"4","journalAbbreviation":"Immunity","language":"eng","note":"PMID: 17950003","page":"670-684","source":"PubMed","title":"Molecular signature of CD8+ T cell exhaustion during chronic viral infection","volume":"27","author":[{"family":"Wherry","given":"E. John"},{"family":"Ha","given":"Sang-Jun"},{"family":"Kaech","given":"Susan M."},{"family":"Haining","given":"W. Nicholas"},{"family":"Sarkar","given":"Surojit"},{"family":"Kalia","given":"Vandana"},{"family":"Subramaniam","given":"Shruti"},{"family":"Blattman","given":"Joseph N."},{"family":"Barber","given":"Daniel L."},{"family":"Ahmed","given":"Rafi"}],"issued":{"date-parts":[["2007",10]]}}}],"schema":"https://github.com/citation-style-language/schema/raw/master/csl-citation.json"} </w:instrText>
      </w:r>
      <w:r w:rsidR="00376B3C">
        <w:rPr>
          <w:rFonts w:ascii="Arial" w:hAnsi="Arial"/>
          <w:sz w:val="18"/>
          <w:szCs w:val="18"/>
          <w:lang w:val="en-US"/>
        </w:rPr>
        <w:fldChar w:fldCharType="separate"/>
      </w:r>
      <w:r w:rsidR="00E35721" w:rsidRPr="00E35721">
        <w:rPr>
          <w:rFonts w:ascii="Arial" w:hAnsi="Arial" w:cs="Arial"/>
          <w:sz w:val="18"/>
          <w:vertAlign w:val="superscript"/>
          <w:lang w:val="en-US"/>
        </w:rPr>
        <w:t>41</w:t>
      </w:r>
      <w:r w:rsidR="00376B3C">
        <w:rPr>
          <w:rFonts w:ascii="Arial" w:hAnsi="Arial"/>
          <w:sz w:val="18"/>
          <w:szCs w:val="18"/>
          <w:lang w:val="en-US"/>
        </w:rPr>
        <w:fldChar w:fldCharType="end"/>
      </w:r>
      <w:r w:rsidR="00376B3C">
        <w:rPr>
          <w:rFonts w:ascii="Arial" w:hAnsi="Arial"/>
          <w:sz w:val="18"/>
          <w:szCs w:val="18"/>
          <w:lang w:val="en-US"/>
        </w:rPr>
        <w:t xml:space="preserve">, anergy </w:t>
      </w:r>
      <w:r w:rsidR="00376B3C">
        <w:rPr>
          <w:rFonts w:ascii="Arial" w:hAnsi="Arial"/>
          <w:sz w:val="18"/>
          <w:szCs w:val="18"/>
          <w:lang w:val="en-US"/>
        </w:rPr>
        <w:fldChar w:fldCharType="begin"/>
      </w:r>
      <w:r w:rsidR="00E35721">
        <w:rPr>
          <w:rFonts w:ascii="Arial" w:hAnsi="Arial"/>
          <w:sz w:val="18"/>
          <w:szCs w:val="18"/>
          <w:lang w:val="en-US"/>
        </w:rPr>
        <w:instrText xml:space="preserve"> ADDIN ZOTERO_ITEM CSL_CITATION {"citationID":"KwpsRUJW","properties":{"formattedCitation":"\\super 40\\nosupersub{}","plainCitation":"40","noteIndex":0},"citationItems":[{"id":37086,"uris":["http://zotero.org/users/5828886/items/59L9YCAE"],"uri":["http://zotero.org/users/5828886/items/59L9YCAE"],"itemData":{"id":37086,"type":"article-journal","abstract":"T cell receptor engagement in the absence of proper accessory signals leads to T cell anergy. E3 ligases are involved in maintaining the anergic state. However, the specific molecules responsible for the induction of anergy have yet to be elucidated. Using microarray analysis we have identified here early growth response gene 2 (Egr-2) and Egr-3 as key negative regulators of T cell activation. Overexpression of Egr2 and Egr3 was associated with an increase in the E3 ubiquitin ligase Cbl-b and inhibition of T cell activation. Conversely, T cells from Egr3(-/-) mice had lower expression of Cbl-b and were resistant to in vivo peptide-induced tolerance. These data support the idea that Egr-2 and Egr-3 are involved in promoting a T cell receptor-induced negative regulatory genetic program.","container-title":"Nature Immunology","DOI":"10.1038/ni1193","ISSN":"1529-2908","issue":"5","journalAbbreviation":"Nat. Immunol.","language":"eng","note":"PMID: 15834410","page":"472-480","source":"PubMed","title":"Egr-2 and Egr-3 are negative regulators of T cell activation","volume":"6","author":[{"family":"Safford","given":"Meredith"},{"family":"Collins","given":"Samuel"},{"family":"Lutz","given":"Michael A."},{"family":"Allen","given":"Amy"},{"family":"Huang","given":"Ching-Tai"},{"family":"Kowalski","given":"Jeanne"},{"family":"Blackford","given":"Amanda"},{"family":"Horton","given":"Maureen R."},{"family":"Drake","given":"Charles"},{"family":"Schwartz","given":"Ronald H."},{"family":"Powell","given":"Jonathan D."}],"issued":{"date-parts":[["2005",5]]}}}],"schema":"https://github.com/citation-style-language/schema/raw/master/csl-citation.json"} </w:instrText>
      </w:r>
      <w:r w:rsidR="00376B3C">
        <w:rPr>
          <w:rFonts w:ascii="Arial" w:hAnsi="Arial"/>
          <w:sz w:val="18"/>
          <w:szCs w:val="18"/>
          <w:lang w:val="en-US"/>
        </w:rPr>
        <w:fldChar w:fldCharType="separate"/>
      </w:r>
      <w:r w:rsidR="00E35721" w:rsidRPr="00E35721">
        <w:rPr>
          <w:rFonts w:ascii="Arial" w:hAnsi="Arial" w:cs="Arial"/>
          <w:sz w:val="18"/>
          <w:vertAlign w:val="superscript"/>
          <w:lang w:val="en-US"/>
        </w:rPr>
        <w:t>40</w:t>
      </w:r>
      <w:r w:rsidR="00376B3C">
        <w:rPr>
          <w:rFonts w:ascii="Arial" w:hAnsi="Arial"/>
          <w:sz w:val="18"/>
          <w:szCs w:val="18"/>
          <w:lang w:val="en-US"/>
        </w:rPr>
        <w:fldChar w:fldCharType="end"/>
      </w:r>
      <w:r w:rsidR="00376B3C">
        <w:rPr>
          <w:rFonts w:ascii="Arial" w:hAnsi="Arial"/>
          <w:sz w:val="18"/>
          <w:szCs w:val="18"/>
          <w:lang w:val="en-US"/>
        </w:rPr>
        <w:t xml:space="preserve"> and deletion tolerance </w:t>
      </w:r>
      <w:r w:rsidR="00376B3C">
        <w:rPr>
          <w:rFonts w:ascii="Arial" w:hAnsi="Arial"/>
          <w:sz w:val="18"/>
          <w:szCs w:val="18"/>
          <w:lang w:val="en-US"/>
        </w:rPr>
        <w:fldChar w:fldCharType="begin"/>
      </w:r>
      <w:r w:rsidR="00E35721">
        <w:rPr>
          <w:rFonts w:ascii="Arial" w:hAnsi="Arial"/>
          <w:sz w:val="18"/>
          <w:szCs w:val="18"/>
          <w:lang w:val="en-US"/>
        </w:rPr>
        <w:instrText xml:space="preserve"> ADDIN ZOTERO_ITEM CSL_CITATION {"citationID":"CLkfizn7","properties":{"formattedCitation":"\\super 39\\nosupersub{}","plainCitation":"39","noteIndex":0},"citationItems":[{"id":37083,"uris":["http://zotero.org/users/5828886/items/7W5GTINB"],"uri":["http://zotero.org/users/5828886/items/7W5GTINB"],"itemData":{"id":37083,"type":"article-journal","abstract":"Peripheral tolerance induction is critical for the maintenance of self-tolerance and can be mediated by immunoregulatory T cells or by direct induction of T-cell anergy or deletion. Although the molecular processes underlying anergy have been extensively studied, little is known about the molecular basis for peripheral T-cell deletion. Here, we determined the gene expression signature of peripheral CD8(+) T cells undergoing deletional tolerance, relative to those undergoing immunogenic priming or lymphopenia-induced proliferation. From these data, we report the first detailed molecular signature of cells undergoing deletion. Consistent with defective cytolysis, these cells exhibited deficiencies in granzyme up-regulation. Furthermore, they showed antigen-driven Bcl-2 down-regulation and early up-regulation of the proapoptotic protein Bim, consistent with the requirement of this BH3-only protein for peripheral T-cell deletion. Bim up-regulation was paralleled by defective interleukin-7 receptor alpha (IL-7Ralpha) chain reexpression, suggesting that Bim-dependent death may be triggered by loss of IL-7/IL-7R signaling. Finally, we observed parallels in molecular signatures between deletion and anergy, suggesting that these tolerance pathways may not be as molecularly distinct as previously surmised.","container-title":"Blood","DOI":"10.1182/blood-2008-10-185223","ISSN":"1528-0020","issue":"19","journalAbbreviation":"Blood","language":"eng","note":"PMID: 19204323\nPMCID: PMC2680364","page":"4575-4585","source":"PubMed","title":"The molecular signature of CD8+ T cells undergoing deletional tolerance","volume":"113","author":[{"family":"Parish","given":"Ian A."},{"family":"Rao","given":"Sudha"},{"family":"Smyth","given":"Gordon K."},{"family":"Juelich","given":"Torsten"},{"family":"Denyer","given":"Gareth S."},{"family":"Davey","given":"Gayle M."},{"family":"Strasser","given":"Andreas"},{"family":"Heath","given":"William R."}],"issued":{"date-parts":[["2009",5,7]]}}}],"schema":"https://github.com/citation-style-language/schema/raw/master/csl-citation.json"} </w:instrText>
      </w:r>
      <w:r w:rsidR="00376B3C">
        <w:rPr>
          <w:rFonts w:ascii="Arial" w:hAnsi="Arial"/>
          <w:sz w:val="18"/>
          <w:szCs w:val="18"/>
          <w:lang w:val="en-US"/>
        </w:rPr>
        <w:fldChar w:fldCharType="separate"/>
      </w:r>
      <w:r w:rsidR="00E35721" w:rsidRPr="00E35721">
        <w:rPr>
          <w:rFonts w:ascii="Arial" w:hAnsi="Arial" w:cs="Arial"/>
          <w:sz w:val="18"/>
          <w:vertAlign w:val="superscript"/>
          <w:lang w:val="en-US"/>
        </w:rPr>
        <w:t>39</w:t>
      </w:r>
      <w:r w:rsidR="00376B3C">
        <w:rPr>
          <w:rFonts w:ascii="Arial" w:hAnsi="Arial"/>
          <w:sz w:val="18"/>
          <w:szCs w:val="18"/>
          <w:lang w:val="en-US"/>
        </w:rPr>
        <w:fldChar w:fldCharType="end"/>
      </w:r>
      <w:r w:rsidR="00376B3C">
        <w:rPr>
          <w:rFonts w:ascii="Arial" w:hAnsi="Arial"/>
          <w:sz w:val="18"/>
          <w:szCs w:val="18"/>
          <w:lang w:val="en-US"/>
        </w:rPr>
        <w:t xml:space="preserve">signatures from MSigDB </w:t>
      </w:r>
      <w:r w:rsidR="00423EC0">
        <w:rPr>
          <w:rFonts w:ascii="Arial" w:hAnsi="Arial"/>
          <w:sz w:val="18"/>
          <w:szCs w:val="18"/>
          <w:lang w:val="en-US"/>
        </w:rPr>
        <w:t xml:space="preserve">v7.1 </w:t>
      </w:r>
      <w:r w:rsidR="00376B3C">
        <w:rPr>
          <w:rFonts w:ascii="Arial" w:hAnsi="Arial"/>
          <w:sz w:val="18"/>
          <w:szCs w:val="18"/>
          <w:lang w:val="en-US"/>
        </w:rPr>
        <w:t>(</w:t>
      </w:r>
      <w:r w:rsidR="00423EC0">
        <w:rPr>
          <w:rFonts w:ascii="Arial" w:hAnsi="Arial"/>
          <w:sz w:val="18"/>
          <w:szCs w:val="18"/>
          <w:lang w:val="en-US"/>
        </w:rPr>
        <w:t>Broad</w:t>
      </w:r>
      <w:r w:rsidR="00376B3C">
        <w:rPr>
          <w:rFonts w:ascii="Arial" w:hAnsi="Arial"/>
          <w:sz w:val="18"/>
          <w:szCs w:val="18"/>
          <w:lang w:val="en-US"/>
        </w:rPr>
        <w:t xml:space="preserve"> institute) was performed on day 9 </w:t>
      </w:r>
      <w:r w:rsidR="00303662">
        <w:rPr>
          <w:rFonts w:ascii="Arial" w:hAnsi="Arial"/>
          <w:sz w:val="18"/>
          <w:szCs w:val="18"/>
          <w:lang w:val="en-US"/>
        </w:rPr>
        <w:t>Dex-GP33</w:t>
      </w:r>
      <w:r w:rsidR="00376B3C">
        <w:rPr>
          <w:rFonts w:ascii="Arial" w:hAnsi="Arial"/>
          <w:sz w:val="18"/>
          <w:szCs w:val="18"/>
          <w:lang w:val="en-US"/>
        </w:rPr>
        <w:t xml:space="preserve"> T</w:t>
      </w:r>
      <w:r w:rsidR="00376B3C" w:rsidRPr="00D30673">
        <w:rPr>
          <w:rFonts w:ascii="Arial" w:hAnsi="Arial"/>
          <w:sz w:val="18"/>
          <w:szCs w:val="18"/>
          <w:vertAlign w:val="subscript"/>
          <w:lang w:val="en-US"/>
        </w:rPr>
        <w:t>EFF</w:t>
      </w:r>
      <w:r w:rsidR="00376B3C">
        <w:rPr>
          <w:rFonts w:ascii="Arial" w:hAnsi="Arial"/>
          <w:sz w:val="18"/>
          <w:szCs w:val="18"/>
          <w:lang w:val="en-US"/>
        </w:rPr>
        <w:t xml:space="preserve"> from LCLV-C</w:t>
      </w:r>
      <w:r w:rsidR="0031307F">
        <w:rPr>
          <w:rFonts w:ascii="Arial" w:hAnsi="Arial"/>
          <w:sz w:val="18"/>
          <w:szCs w:val="18"/>
          <w:lang w:val="en-US"/>
        </w:rPr>
        <w:t>L</w:t>
      </w:r>
      <w:r w:rsidR="00376B3C">
        <w:rPr>
          <w:rFonts w:ascii="Arial" w:hAnsi="Arial"/>
          <w:sz w:val="18"/>
          <w:szCs w:val="18"/>
          <w:lang w:val="en-US"/>
        </w:rPr>
        <w:t xml:space="preserve">13 infection mice. </w:t>
      </w:r>
    </w:p>
    <w:p w14:paraId="17984016" w14:textId="7BBBACBB" w:rsidR="00A62691" w:rsidRDefault="004B6210" w:rsidP="00A62691">
      <w:pPr>
        <w:spacing w:line="480" w:lineRule="auto"/>
        <w:jc w:val="center"/>
        <w:rPr>
          <w:rFonts w:ascii="Arial" w:hAnsi="Arial" w:cs="Verdana"/>
          <w:b/>
          <w:sz w:val="18"/>
          <w:szCs w:val="18"/>
          <w:lang w:val="en-US"/>
        </w:rPr>
      </w:pPr>
      <w:r>
        <w:rPr>
          <w:rFonts w:ascii="Arial" w:hAnsi="Arial" w:cs="Verdana"/>
          <w:b/>
          <w:noProof/>
          <w:sz w:val="18"/>
          <w:szCs w:val="18"/>
          <w:lang w:val="en-IN" w:eastAsia="en-IN"/>
        </w:rPr>
        <w:lastRenderedPageBreak/>
        <w:drawing>
          <wp:inline distT="0" distB="0" distL="0" distR="0" wp14:anchorId="69DE8D13" wp14:editId="46BAC6F0">
            <wp:extent cx="4535714" cy="74091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10.png"/>
                    <pic:cNvPicPr/>
                  </pic:nvPicPr>
                  <pic:blipFill rotWithShape="1">
                    <a:blip r:embed="rId15"/>
                    <a:srcRect r="23521" b="13309"/>
                    <a:stretch/>
                  </pic:blipFill>
                  <pic:spPr bwMode="auto">
                    <a:xfrm>
                      <a:off x="0" y="0"/>
                      <a:ext cx="4535936" cy="7409542"/>
                    </a:xfrm>
                    <a:prstGeom prst="rect">
                      <a:avLst/>
                    </a:prstGeom>
                    <a:ln>
                      <a:noFill/>
                    </a:ln>
                    <a:extLst>
                      <a:ext uri="{53640926-AAD7-44D8-BBD7-CCE9431645EC}">
                        <a14:shadowObscured xmlns:a14="http://schemas.microsoft.com/office/drawing/2010/main"/>
                      </a:ext>
                    </a:extLst>
                  </pic:spPr>
                </pic:pic>
              </a:graphicData>
            </a:graphic>
          </wp:inline>
        </w:drawing>
      </w:r>
    </w:p>
    <w:p w14:paraId="2C138824" w14:textId="5E39BCA7" w:rsidR="005E5C4B" w:rsidRDefault="005B5159" w:rsidP="005E5C4B">
      <w:pPr>
        <w:spacing w:line="480" w:lineRule="auto"/>
        <w:jc w:val="both"/>
        <w:rPr>
          <w:rFonts w:ascii="Arial" w:hAnsi="Arial"/>
          <w:sz w:val="18"/>
          <w:szCs w:val="18"/>
          <w:lang w:val="en-US"/>
        </w:rPr>
      </w:pPr>
      <w:r w:rsidRPr="00917AD6">
        <w:rPr>
          <w:rFonts w:ascii="Arial" w:hAnsi="Arial" w:cs="Verdana"/>
          <w:b/>
          <w:sz w:val="18"/>
          <w:szCs w:val="18"/>
          <w:lang w:val="en-US"/>
        </w:rPr>
        <w:t>Figure S</w:t>
      </w:r>
      <w:r w:rsidR="003C6397">
        <w:rPr>
          <w:rFonts w:ascii="Arial" w:hAnsi="Arial" w:cs="Verdana"/>
          <w:b/>
          <w:sz w:val="18"/>
          <w:szCs w:val="18"/>
          <w:lang w:val="en-US"/>
        </w:rPr>
        <w:t>10</w:t>
      </w:r>
      <w:r w:rsidRPr="00917AD6">
        <w:rPr>
          <w:rFonts w:ascii="Arial" w:hAnsi="Arial" w:cs="Verdana"/>
          <w:b/>
          <w:sz w:val="18"/>
          <w:szCs w:val="18"/>
          <w:lang w:val="en-US"/>
        </w:rPr>
        <w:t>. Naïve P14, P14 and DexGP-33 T</w:t>
      </w:r>
      <w:r w:rsidRPr="00917AD6">
        <w:rPr>
          <w:rFonts w:ascii="Arial" w:hAnsi="Arial" w:cs="Verdana"/>
          <w:b/>
          <w:sz w:val="18"/>
          <w:szCs w:val="18"/>
          <w:vertAlign w:val="subscript"/>
          <w:lang w:val="en-US"/>
        </w:rPr>
        <w:t>EFF</w:t>
      </w:r>
      <w:r w:rsidRPr="00917AD6">
        <w:rPr>
          <w:rFonts w:ascii="Arial" w:hAnsi="Arial" w:cs="Verdana"/>
          <w:b/>
          <w:sz w:val="18"/>
          <w:szCs w:val="18"/>
          <w:lang w:val="en-US"/>
        </w:rPr>
        <w:t xml:space="preserve"> expression of a set of transcription factor genes involved in </w:t>
      </w:r>
      <w:r w:rsidR="00D85747">
        <w:rPr>
          <w:rFonts w:ascii="Arial" w:hAnsi="Arial" w:cs="Verdana"/>
          <w:b/>
          <w:sz w:val="18"/>
          <w:szCs w:val="18"/>
          <w:lang w:val="en-US"/>
        </w:rPr>
        <w:t>CD8</w:t>
      </w:r>
      <w:r w:rsidRPr="00917AD6">
        <w:rPr>
          <w:rFonts w:ascii="Arial" w:hAnsi="Arial" w:cs="Verdana"/>
          <w:b/>
          <w:sz w:val="18"/>
          <w:szCs w:val="18"/>
          <w:lang w:val="en-US"/>
        </w:rPr>
        <w:t xml:space="preserve"> T cell function.</w:t>
      </w:r>
      <w:r w:rsidRPr="00917AD6">
        <w:rPr>
          <w:rFonts w:ascii="Arial" w:hAnsi="Arial"/>
          <w:sz w:val="18"/>
          <w:szCs w:val="18"/>
          <w:lang w:val="en-US"/>
        </w:rPr>
        <w:t xml:space="preserve"> </w:t>
      </w:r>
      <w:r w:rsidR="005E5C4B" w:rsidRPr="00917AD6">
        <w:rPr>
          <w:rFonts w:ascii="Arial" w:hAnsi="Arial"/>
          <w:sz w:val="18"/>
          <w:szCs w:val="18"/>
          <w:lang w:val="en-US"/>
        </w:rPr>
        <w:t xml:space="preserve">(a) </w:t>
      </w:r>
      <w:r w:rsidR="005E5C4B" w:rsidRPr="00917AD6">
        <w:rPr>
          <w:rFonts w:ascii="Arial" w:hAnsi="Arial" w:cs="Verdana"/>
          <w:b/>
          <w:sz w:val="18"/>
          <w:szCs w:val="18"/>
          <w:lang w:val="en-US"/>
        </w:rPr>
        <w:t xml:space="preserve"> </w:t>
      </w:r>
      <w:r w:rsidR="005E5C4B" w:rsidRPr="00917AD6">
        <w:rPr>
          <w:rFonts w:ascii="Arial" w:hAnsi="Arial" w:cs="Arial"/>
          <w:sz w:val="18"/>
          <w:szCs w:val="18"/>
          <w:lang w:val="en-US"/>
        </w:rPr>
        <w:t xml:space="preserve">Relative expression levels of genes in </w:t>
      </w:r>
      <w:r w:rsidR="005E5C4B" w:rsidRPr="00917AD6">
        <w:rPr>
          <w:rFonts w:ascii="Arial" w:hAnsi="Arial"/>
          <w:sz w:val="18"/>
          <w:szCs w:val="18"/>
          <w:lang w:val="en-US"/>
        </w:rPr>
        <w:t>Dex-GP-33 T</w:t>
      </w:r>
      <w:r w:rsidR="005E5C4B" w:rsidRPr="00917AD6">
        <w:rPr>
          <w:rFonts w:ascii="Arial" w:hAnsi="Arial"/>
          <w:sz w:val="18"/>
          <w:szCs w:val="18"/>
          <w:vertAlign w:val="subscript"/>
          <w:lang w:val="en-US"/>
        </w:rPr>
        <w:t xml:space="preserve">EFF </w:t>
      </w:r>
      <w:r w:rsidR="005E5C4B" w:rsidRPr="00917AD6">
        <w:rPr>
          <w:rFonts w:ascii="Arial" w:hAnsi="Arial"/>
          <w:sz w:val="18"/>
          <w:szCs w:val="18"/>
          <w:lang w:val="en-US"/>
        </w:rPr>
        <w:t xml:space="preserve">from control and anti-LFA-1 </w:t>
      </w:r>
      <w:r w:rsidR="005E5C4B">
        <w:rPr>
          <w:rFonts w:ascii="Arial" w:hAnsi="Arial"/>
          <w:sz w:val="18"/>
          <w:szCs w:val="18"/>
          <w:lang w:val="en-US"/>
        </w:rPr>
        <w:t xml:space="preserve">Mab </w:t>
      </w:r>
      <w:r w:rsidR="005E5C4B" w:rsidRPr="00917AD6">
        <w:rPr>
          <w:rFonts w:ascii="Arial" w:hAnsi="Arial"/>
          <w:sz w:val="18"/>
          <w:szCs w:val="18"/>
          <w:lang w:val="en-US"/>
        </w:rPr>
        <w:t>treated mice in comparison to P14 LFA1</w:t>
      </w:r>
      <w:r w:rsidR="005E5C4B" w:rsidRPr="00917AD6">
        <w:rPr>
          <w:rFonts w:ascii="Arial" w:hAnsi="Arial"/>
          <w:sz w:val="18"/>
          <w:szCs w:val="18"/>
          <w:vertAlign w:val="superscript"/>
          <w:lang w:val="en-US"/>
        </w:rPr>
        <w:t>+/+</w:t>
      </w:r>
      <w:r w:rsidR="005E5C4B" w:rsidRPr="00917AD6">
        <w:rPr>
          <w:rFonts w:ascii="Arial" w:hAnsi="Arial"/>
          <w:sz w:val="18"/>
          <w:szCs w:val="18"/>
          <w:lang w:val="en-US"/>
        </w:rPr>
        <w:t xml:space="preserve"> naïve cells.  (b) </w:t>
      </w:r>
      <w:r w:rsidR="005E5C4B" w:rsidRPr="00917AD6">
        <w:rPr>
          <w:rFonts w:ascii="Arial" w:hAnsi="Arial" w:cs="Arial"/>
          <w:sz w:val="18"/>
          <w:szCs w:val="18"/>
          <w:lang w:val="en-US"/>
        </w:rPr>
        <w:t xml:space="preserve">Relative expression levels of genes in </w:t>
      </w:r>
      <w:r w:rsidR="005E5C4B" w:rsidRPr="00917AD6">
        <w:rPr>
          <w:rFonts w:ascii="Arial" w:hAnsi="Arial"/>
          <w:sz w:val="18"/>
          <w:szCs w:val="18"/>
          <w:lang w:val="en-US"/>
        </w:rPr>
        <w:t>LFA1</w:t>
      </w:r>
      <w:r w:rsidR="005E5C4B" w:rsidRPr="00917AD6">
        <w:rPr>
          <w:rFonts w:ascii="Arial" w:hAnsi="Arial"/>
          <w:sz w:val="18"/>
          <w:szCs w:val="18"/>
          <w:vertAlign w:val="superscript"/>
          <w:lang w:val="en-US"/>
        </w:rPr>
        <w:t xml:space="preserve">+/+ </w:t>
      </w:r>
      <w:r w:rsidR="005E5C4B" w:rsidRPr="00917AD6">
        <w:rPr>
          <w:rFonts w:ascii="Arial" w:hAnsi="Arial"/>
          <w:sz w:val="18"/>
          <w:szCs w:val="18"/>
          <w:lang w:val="en-US"/>
        </w:rPr>
        <w:t>and LFA1</w:t>
      </w:r>
      <w:r w:rsidR="005E5C4B" w:rsidRPr="00917AD6">
        <w:rPr>
          <w:rFonts w:ascii="Arial" w:hAnsi="Arial"/>
          <w:sz w:val="18"/>
          <w:szCs w:val="18"/>
          <w:vertAlign w:val="superscript"/>
          <w:lang w:val="en-US"/>
        </w:rPr>
        <w:t>-/-</w:t>
      </w:r>
      <w:r w:rsidR="005E5C4B" w:rsidRPr="00917AD6">
        <w:rPr>
          <w:rFonts w:ascii="Arial" w:hAnsi="Arial"/>
          <w:sz w:val="18"/>
          <w:szCs w:val="18"/>
          <w:lang w:val="en-US"/>
        </w:rPr>
        <w:t xml:space="preserve"> P14</w:t>
      </w:r>
      <w:r w:rsidR="005E5C4B">
        <w:rPr>
          <w:rFonts w:ascii="Arial" w:hAnsi="Arial"/>
          <w:sz w:val="18"/>
          <w:szCs w:val="18"/>
          <w:lang w:val="en-US"/>
        </w:rPr>
        <w:t xml:space="preserve"> </w:t>
      </w:r>
      <w:r w:rsidR="005E5C4B" w:rsidRPr="00917AD6">
        <w:rPr>
          <w:rFonts w:ascii="Arial" w:hAnsi="Arial"/>
          <w:sz w:val="18"/>
          <w:szCs w:val="18"/>
          <w:lang w:val="en-US"/>
        </w:rPr>
        <w:t>T</w:t>
      </w:r>
      <w:r w:rsidR="005E5C4B" w:rsidRPr="00917AD6">
        <w:rPr>
          <w:rFonts w:ascii="Arial" w:hAnsi="Arial"/>
          <w:sz w:val="18"/>
          <w:szCs w:val="18"/>
          <w:vertAlign w:val="subscript"/>
          <w:lang w:val="en-US"/>
        </w:rPr>
        <w:t>EFF</w:t>
      </w:r>
      <w:r w:rsidR="005E5C4B" w:rsidRPr="00917AD6">
        <w:rPr>
          <w:rFonts w:ascii="Arial" w:hAnsi="Arial"/>
          <w:sz w:val="18"/>
          <w:szCs w:val="18"/>
          <w:lang w:val="en-US"/>
        </w:rPr>
        <w:t xml:space="preserve"> in comparison to LFA1</w:t>
      </w:r>
      <w:r w:rsidR="005E5C4B" w:rsidRPr="00917AD6">
        <w:rPr>
          <w:rFonts w:ascii="Arial" w:hAnsi="Arial"/>
          <w:sz w:val="18"/>
          <w:szCs w:val="18"/>
          <w:vertAlign w:val="superscript"/>
          <w:lang w:val="en-US"/>
        </w:rPr>
        <w:t>+/+</w:t>
      </w:r>
      <w:r w:rsidR="005E5C4B" w:rsidRPr="00917AD6">
        <w:rPr>
          <w:rFonts w:ascii="Arial" w:hAnsi="Arial"/>
          <w:sz w:val="18"/>
          <w:szCs w:val="18"/>
          <w:lang w:val="en-US"/>
        </w:rPr>
        <w:t xml:space="preserve"> and LFA1</w:t>
      </w:r>
      <w:r w:rsidR="005E5C4B" w:rsidRPr="00917AD6">
        <w:rPr>
          <w:rFonts w:ascii="Arial" w:hAnsi="Arial"/>
          <w:sz w:val="18"/>
          <w:szCs w:val="18"/>
          <w:vertAlign w:val="superscript"/>
          <w:lang w:val="en-US"/>
        </w:rPr>
        <w:t>-/-</w:t>
      </w:r>
      <w:r w:rsidR="005E5C4B" w:rsidRPr="00917AD6">
        <w:rPr>
          <w:rFonts w:ascii="Arial" w:hAnsi="Arial"/>
          <w:sz w:val="18"/>
          <w:szCs w:val="18"/>
          <w:lang w:val="en-US"/>
        </w:rPr>
        <w:t xml:space="preserve"> P14 naïve cells.</w:t>
      </w:r>
    </w:p>
    <w:p w14:paraId="581BD12B" w14:textId="61AC5A5D" w:rsidR="000D0525" w:rsidRDefault="000D0525" w:rsidP="00A62691">
      <w:pPr>
        <w:spacing w:line="480" w:lineRule="auto"/>
        <w:jc w:val="both"/>
        <w:rPr>
          <w:rFonts w:ascii="Arial" w:hAnsi="Arial" w:cs="Verdana"/>
          <w:b/>
          <w:sz w:val="22"/>
          <w:szCs w:val="22"/>
          <w:lang w:val="en-US"/>
        </w:rPr>
      </w:pPr>
    </w:p>
    <w:p w14:paraId="3E343BFB" w14:textId="77777777" w:rsidR="000D0525" w:rsidRDefault="000D0525" w:rsidP="000D0525">
      <w:pPr>
        <w:spacing w:line="480" w:lineRule="auto"/>
        <w:jc w:val="both"/>
        <w:rPr>
          <w:rFonts w:ascii="Arial" w:hAnsi="Arial" w:cs="Verdana"/>
          <w:b/>
          <w:sz w:val="22"/>
          <w:szCs w:val="22"/>
          <w:lang w:val="en-US"/>
        </w:rPr>
      </w:pPr>
    </w:p>
    <w:p w14:paraId="25367346" w14:textId="77777777" w:rsidR="005B5159" w:rsidRDefault="005B5159" w:rsidP="000D0525">
      <w:pPr>
        <w:rPr>
          <w:rFonts w:ascii="Arial" w:hAnsi="Arial" w:cs="Verdana"/>
          <w:b/>
          <w:sz w:val="22"/>
          <w:szCs w:val="22"/>
          <w:lang w:val="en-US"/>
        </w:rPr>
      </w:pPr>
    </w:p>
    <w:p w14:paraId="2A120544" w14:textId="3D08B01E" w:rsidR="00850A40" w:rsidRDefault="007C7765" w:rsidP="00850A40">
      <w:pPr>
        <w:spacing w:line="480" w:lineRule="auto"/>
        <w:jc w:val="center"/>
        <w:rPr>
          <w:rFonts w:ascii="Arial" w:hAnsi="Arial" w:cs="Verdana"/>
          <w:b/>
          <w:sz w:val="18"/>
          <w:szCs w:val="18"/>
          <w:lang w:val="en-US"/>
        </w:rPr>
      </w:pPr>
      <w:r>
        <w:rPr>
          <w:rFonts w:ascii="Arial" w:hAnsi="Arial" w:cs="Verdana"/>
          <w:b/>
          <w:noProof/>
          <w:sz w:val="18"/>
          <w:szCs w:val="18"/>
          <w:lang w:val="en-IN" w:eastAsia="en-IN"/>
        </w:rPr>
        <w:drawing>
          <wp:inline distT="0" distB="0" distL="0" distR="0" wp14:anchorId="11593376" wp14:editId="52370CB4">
            <wp:extent cx="5050971" cy="600837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S11.png"/>
                    <pic:cNvPicPr/>
                  </pic:nvPicPr>
                  <pic:blipFill rotWithShape="1">
                    <a:blip r:embed="rId16"/>
                    <a:srcRect r="18326" b="7814"/>
                    <a:stretch/>
                  </pic:blipFill>
                  <pic:spPr bwMode="auto">
                    <a:xfrm>
                      <a:off x="0" y="0"/>
                      <a:ext cx="5051428" cy="6008914"/>
                    </a:xfrm>
                    <a:prstGeom prst="rect">
                      <a:avLst/>
                    </a:prstGeom>
                    <a:ln>
                      <a:noFill/>
                    </a:ln>
                    <a:extLst>
                      <a:ext uri="{53640926-AAD7-44D8-BBD7-CCE9431645EC}">
                        <a14:shadowObscured xmlns:a14="http://schemas.microsoft.com/office/drawing/2010/main"/>
                      </a:ext>
                    </a:extLst>
                  </pic:spPr>
                </pic:pic>
              </a:graphicData>
            </a:graphic>
          </wp:inline>
        </w:drawing>
      </w:r>
    </w:p>
    <w:p w14:paraId="4623F997" w14:textId="4A6B6167" w:rsidR="00D32F90" w:rsidRDefault="00850A40" w:rsidP="00D32F90">
      <w:pPr>
        <w:spacing w:line="480" w:lineRule="auto"/>
        <w:jc w:val="both"/>
        <w:rPr>
          <w:rFonts w:ascii="Arial" w:hAnsi="Arial"/>
          <w:sz w:val="18"/>
          <w:szCs w:val="18"/>
          <w:lang w:val="en-US"/>
        </w:rPr>
      </w:pPr>
      <w:r>
        <w:rPr>
          <w:rFonts w:ascii="Arial" w:hAnsi="Arial" w:cs="Verdana"/>
          <w:b/>
          <w:sz w:val="18"/>
          <w:szCs w:val="18"/>
          <w:lang w:val="en-US"/>
        </w:rPr>
        <w:t>Fi</w:t>
      </w:r>
      <w:r w:rsidR="005B5159" w:rsidRPr="005B5159">
        <w:rPr>
          <w:rFonts w:ascii="Arial" w:hAnsi="Arial" w:cs="Verdana"/>
          <w:b/>
          <w:sz w:val="18"/>
          <w:szCs w:val="18"/>
          <w:lang w:val="en-US"/>
        </w:rPr>
        <w:t>gure S</w:t>
      </w:r>
      <w:r w:rsidR="003C6397">
        <w:rPr>
          <w:rFonts w:ascii="Arial" w:hAnsi="Arial" w:cs="Verdana"/>
          <w:b/>
          <w:sz w:val="18"/>
          <w:szCs w:val="18"/>
          <w:lang w:val="en-US"/>
        </w:rPr>
        <w:t>11</w:t>
      </w:r>
      <w:r w:rsidR="005B5159" w:rsidRPr="005B5159">
        <w:rPr>
          <w:rFonts w:ascii="Arial" w:hAnsi="Arial" w:cs="Verdana"/>
          <w:b/>
          <w:sz w:val="18"/>
          <w:szCs w:val="18"/>
          <w:lang w:val="en-US"/>
        </w:rPr>
        <w:t>. Naïve P14, P14 and DexGP-33 T</w:t>
      </w:r>
      <w:r w:rsidR="005B5159" w:rsidRPr="005B5159">
        <w:rPr>
          <w:rFonts w:ascii="Arial" w:hAnsi="Arial" w:cs="Verdana"/>
          <w:b/>
          <w:sz w:val="18"/>
          <w:szCs w:val="18"/>
          <w:vertAlign w:val="subscript"/>
          <w:lang w:val="en-US"/>
        </w:rPr>
        <w:t>EFF</w:t>
      </w:r>
      <w:r w:rsidR="005B5159" w:rsidRPr="005B5159">
        <w:rPr>
          <w:rFonts w:ascii="Arial" w:hAnsi="Arial" w:cs="Verdana"/>
          <w:b/>
          <w:sz w:val="18"/>
          <w:szCs w:val="18"/>
          <w:lang w:val="en-US"/>
        </w:rPr>
        <w:t xml:space="preserve"> expression of a set of inhibitory receptor genes involved in </w:t>
      </w:r>
      <w:r w:rsidR="00D85747">
        <w:rPr>
          <w:rFonts w:ascii="Arial" w:hAnsi="Arial" w:cs="Verdana"/>
          <w:b/>
          <w:sz w:val="18"/>
          <w:szCs w:val="18"/>
          <w:lang w:val="en-US"/>
        </w:rPr>
        <w:t>CD8</w:t>
      </w:r>
      <w:r w:rsidR="005B5159" w:rsidRPr="005B5159">
        <w:rPr>
          <w:rFonts w:ascii="Arial" w:hAnsi="Arial" w:cs="Verdana"/>
          <w:b/>
          <w:sz w:val="18"/>
          <w:szCs w:val="18"/>
          <w:lang w:val="en-US"/>
        </w:rPr>
        <w:t xml:space="preserve"> T cell function.</w:t>
      </w:r>
      <w:r w:rsidR="005B5159" w:rsidRPr="005B5159">
        <w:rPr>
          <w:rFonts w:ascii="Arial" w:hAnsi="Arial"/>
          <w:sz w:val="18"/>
          <w:szCs w:val="18"/>
          <w:lang w:val="en-US"/>
        </w:rPr>
        <w:t xml:space="preserve"> </w:t>
      </w:r>
      <w:r w:rsidR="00D32F90" w:rsidRPr="00917AD6">
        <w:rPr>
          <w:rFonts w:ascii="Arial" w:hAnsi="Arial"/>
          <w:sz w:val="18"/>
          <w:szCs w:val="18"/>
          <w:lang w:val="en-US"/>
        </w:rPr>
        <w:t xml:space="preserve">(a) </w:t>
      </w:r>
      <w:r w:rsidR="00D32F90" w:rsidRPr="00917AD6">
        <w:rPr>
          <w:rFonts w:ascii="Arial" w:hAnsi="Arial" w:cs="Verdana"/>
          <w:b/>
          <w:sz w:val="18"/>
          <w:szCs w:val="18"/>
          <w:lang w:val="en-US"/>
        </w:rPr>
        <w:t xml:space="preserve"> </w:t>
      </w:r>
      <w:r w:rsidR="00D32F90" w:rsidRPr="00917AD6">
        <w:rPr>
          <w:rFonts w:ascii="Arial" w:hAnsi="Arial" w:cs="Arial"/>
          <w:sz w:val="18"/>
          <w:szCs w:val="18"/>
          <w:lang w:val="en-US"/>
        </w:rPr>
        <w:t xml:space="preserve">Relative expression levels of genes in </w:t>
      </w:r>
      <w:r w:rsidR="00D32F90" w:rsidRPr="00917AD6">
        <w:rPr>
          <w:rFonts w:ascii="Arial" w:hAnsi="Arial"/>
          <w:sz w:val="18"/>
          <w:szCs w:val="18"/>
          <w:lang w:val="en-US"/>
        </w:rPr>
        <w:t>Dex-GP-33 T</w:t>
      </w:r>
      <w:r w:rsidR="00D32F90" w:rsidRPr="00917AD6">
        <w:rPr>
          <w:rFonts w:ascii="Arial" w:hAnsi="Arial"/>
          <w:sz w:val="18"/>
          <w:szCs w:val="18"/>
          <w:vertAlign w:val="subscript"/>
          <w:lang w:val="en-US"/>
        </w:rPr>
        <w:t xml:space="preserve">EFF </w:t>
      </w:r>
      <w:r w:rsidR="00D32F90" w:rsidRPr="00917AD6">
        <w:rPr>
          <w:rFonts w:ascii="Arial" w:hAnsi="Arial"/>
          <w:sz w:val="18"/>
          <w:szCs w:val="18"/>
          <w:lang w:val="en-US"/>
        </w:rPr>
        <w:t xml:space="preserve">from control and anti-LFA-1 </w:t>
      </w:r>
      <w:r w:rsidR="00D32F90">
        <w:rPr>
          <w:rFonts w:ascii="Arial" w:hAnsi="Arial"/>
          <w:sz w:val="18"/>
          <w:szCs w:val="18"/>
          <w:lang w:val="en-US"/>
        </w:rPr>
        <w:t xml:space="preserve">Mab </w:t>
      </w:r>
      <w:r w:rsidR="00D32F90" w:rsidRPr="00917AD6">
        <w:rPr>
          <w:rFonts w:ascii="Arial" w:hAnsi="Arial"/>
          <w:sz w:val="18"/>
          <w:szCs w:val="18"/>
          <w:lang w:val="en-US"/>
        </w:rPr>
        <w:t>treated mice in comparison to P14 LFA1</w:t>
      </w:r>
      <w:r w:rsidR="00D32F90" w:rsidRPr="00917AD6">
        <w:rPr>
          <w:rFonts w:ascii="Arial" w:hAnsi="Arial"/>
          <w:sz w:val="18"/>
          <w:szCs w:val="18"/>
          <w:vertAlign w:val="superscript"/>
          <w:lang w:val="en-US"/>
        </w:rPr>
        <w:t>+/+</w:t>
      </w:r>
      <w:r w:rsidR="00D32F90" w:rsidRPr="00917AD6">
        <w:rPr>
          <w:rFonts w:ascii="Arial" w:hAnsi="Arial"/>
          <w:sz w:val="18"/>
          <w:szCs w:val="18"/>
          <w:lang w:val="en-US"/>
        </w:rPr>
        <w:t xml:space="preserve"> naïve cells.  (b) </w:t>
      </w:r>
      <w:r w:rsidR="00D32F90" w:rsidRPr="00917AD6">
        <w:rPr>
          <w:rFonts w:ascii="Arial" w:hAnsi="Arial" w:cs="Arial"/>
          <w:sz w:val="18"/>
          <w:szCs w:val="18"/>
          <w:lang w:val="en-US"/>
        </w:rPr>
        <w:t xml:space="preserve">Relative expression levels of genes in </w:t>
      </w:r>
      <w:r w:rsidR="00D32F90" w:rsidRPr="00917AD6">
        <w:rPr>
          <w:rFonts w:ascii="Arial" w:hAnsi="Arial"/>
          <w:sz w:val="18"/>
          <w:szCs w:val="18"/>
          <w:lang w:val="en-US"/>
        </w:rPr>
        <w:t>LFA1</w:t>
      </w:r>
      <w:r w:rsidR="00D32F90" w:rsidRPr="00917AD6">
        <w:rPr>
          <w:rFonts w:ascii="Arial" w:hAnsi="Arial"/>
          <w:sz w:val="18"/>
          <w:szCs w:val="18"/>
          <w:vertAlign w:val="superscript"/>
          <w:lang w:val="en-US"/>
        </w:rPr>
        <w:t xml:space="preserve">+/+ </w:t>
      </w:r>
      <w:r w:rsidR="00D32F90" w:rsidRPr="00917AD6">
        <w:rPr>
          <w:rFonts w:ascii="Arial" w:hAnsi="Arial"/>
          <w:sz w:val="18"/>
          <w:szCs w:val="18"/>
          <w:lang w:val="en-US"/>
        </w:rPr>
        <w:t>and LFA1</w:t>
      </w:r>
      <w:r w:rsidR="00D32F90" w:rsidRPr="00917AD6">
        <w:rPr>
          <w:rFonts w:ascii="Arial" w:hAnsi="Arial"/>
          <w:sz w:val="18"/>
          <w:szCs w:val="18"/>
          <w:vertAlign w:val="superscript"/>
          <w:lang w:val="en-US"/>
        </w:rPr>
        <w:t>-/-</w:t>
      </w:r>
      <w:r w:rsidR="00D32F90" w:rsidRPr="00917AD6">
        <w:rPr>
          <w:rFonts w:ascii="Arial" w:hAnsi="Arial"/>
          <w:sz w:val="18"/>
          <w:szCs w:val="18"/>
          <w:lang w:val="en-US"/>
        </w:rPr>
        <w:t xml:space="preserve"> P14</w:t>
      </w:r>
      <w:r w:rsidR="00D32F90">
        <w:rPr>
          <w:rFonts w:ascii="Arial" w:hAnsi="Arial"/>
          <w:sz w:val="18"/>
          <w:szCs w:val="18"/>
          <w:lang w:val="en-US"/>
        </w:rPr>
        <w:t xml:space="preserve"> </w:t>
      </w:r>
      <w:r w:rsidR="00D32F90" w:rsidRPr="00917AD6">
        <w:rPr>
          <w:rFonts w:ascii="Arial" w:hAnsi="Arial"/>
          <w:sz w:val="18"/>
          <w:szCs w:val="18"/>
          <w:lang w:val="en-US"/>
        </w:rPr>
        <w:t>T</w:t>
      </w:r>
      <w:r w:rsidR="00D32F90" w:rsidRPr="00917AD6">
        <w:rPr>
          <w:rFonts w:ascii="Arial" w:hAnsi="Arial"/>
          <w:sz w:val="18"/>
          <w:szCs w:val="18"/>
          <w:vertAlign w:val="subscript"/>
          <w:lang w:val="en-US"/>
        </w:rPr>
        <w:t>EFF</w:t>
      </w:r>
      <w:r w:rsidR="00D32F90" w:rsidRPr="00917AD6">
        <w:rPr>
          <w:rFonts w:ascii="Arial" w:hAnsi="Arial"/>
          <w:sz w:val="18"/>
          <w:szCs w:val="18"/>
          <w:lang w:val="en-US"/>
        </w:rPr>
        <w:t xml:space="preserve"> in comparison to LFA1</w:t>
      </w:r>
      <w:r w:rsidR="00D32F90" w:rsidRPr="00917AD6">
        <w:rPr>
          <w:rFonts w:ascii="Arial" w:hAnsi="Arial"/>
          <w:sz w:val="18"/>
          <w:szCs w:val="18"/>
          <w:vertAlign w:val="superscript"/>
          <w:lang w:val="en-US"/>
        </w:rPr>
        <w:t>+/+</w:t>
      </w:r>
      <w:r w:rsidR="00D32F90" w:rsidRPr="00917AD6">
        <w:rPr>
          <w:rFonts w:ascii="Arial" w:hAnsi="Arial"/>
          <w:sz w:val="18"/>
          <w:szCs w:val="18"/>
          <w:lang w:val="en-US"/>
        </w:rPr>
        <w:t xml:space="preserve"> and LFA1</w:t>
      </w:r>
      <w:r w:rsidR="00D32F90" w:rsidRPr="00917AD6">
        <w:rPr>
          <w:rFonts w:ascii="Arial" w:hAnsi="Arial"/>
          <w:sz w:val="18"/>
          <w:szCs w:val="18"/>
          <w:vertAlign w:val="superscript"/>
          <w:lang w:val="en-US"/>
        </w:rPr>
        <w:t>-/-</w:t>
      </w:r>
      <w:r w:rsidR="00D32F90" w:rsidRPr="00917AD6">
        <w:rPr>
          <w:rFonts w:ascii="Arial" w:hAnsi="Arial"/>
          <w:sz w:val="18"/>
          <w:szCs w:val="18"/>
          <w:lang w:val="en-US"/>
        </w:rPr>
        <w:t xml:space="preserve"> P14 naïve cells.</w:t>
      </w:r>
    </w:p>
    <w:p w14:paraId="34F11A13" w14:textId="4070E592" w:rsidR="005B5159" w:rsidRPr="005B5159" w:rsidRDefault="005B5159" w:rsidP="005B5159">
      <w:pPr>
        <w:spacing w:line="480" w:lineRule="auto"/>
        <w:jc w:val="both"/>
        <w:rPr>
          <w:rFonts w:ascii="Arial" w:hAnsi="Arial"/>
          <w:sz w:val="18"/>
          <w:szCs w:val="18"/>
          <w:lang w:val="en-US"/>
        </w:rPr>
      </w:pPr>
    </w:p>
    <w:p w14:paraId="74EDF275" w14:textId="7C2EA9D6" w:rsidR="000D0525" w:rsidRDefault="000D0525" w:rsidP="000D0525">
      <w:pPr>
        <w:rPr>
          <w:rFonts w:ascii="Arial" w:hAnsi="Arial" w:cs="Verdana"/>
          <w:b/>
          <w:sz w:val="22"/>
          <w:szCs w:val="22"/>
          <w:lang w:val="en-US"/>
        </w:rPr>
      </w:pPr>
      <w:r>
        <w:rPr>
          <w:rFonts w:ascii="Arial" w:hAnsi="Arial" w:cs="Verdana"/>
          <w:b/>
          <w:sz w:val="22"/>
          <w:szCs w:val="22"/>
          <w:lang w:val="en-US"/>
        </w:rPr>
        <w:br w:type="page"/>
      </w:r>
    </w:p>
    <w:p w14:paraId="677B7062" w14:textId="47F01839" w:rsidR="000D0525" w:rsidRDefault="00A77F31" w:rsidP="00130943">
      <w:pPr>
        <w:spacing w:line="480" w:lineRule="auto"/>
        <w:jc w:val="center"/>
        <w:rPr>
          <w:rFonts w:ascii="Arial" w:hAnsi="Arial" w:cs="Verdana"/>
          <w:b/>
          <w:sz w:val="22"/>
          <w:szCs w:val="22"/>
          <w:lang w:val="en-US"/>
        </w:rPr>
      </w:pPr>
      <w:r>
        <w:rPr>
          <w:rFonts w:ascii="Arial" w:hAnsi="Arial" w:cs="Verdana"/>
          <w:b/>
          <w:noProof/>
          <w:sz w:val="22"/>
          <w:szCs w:val="22"/>
          <w:lang w:val="en-IN" w:eastAsia="en-IN"/>
        </w:rPr>
        <w:lastRenderedPageBreak/>
        <w:drawing>
          <wp:inline distT="0" distB="0" distL="0" distR="0" wp14:anchorId="60DE23E3" wp14:editId="1B63210F">
            <wp:extent cx="4550229" cy="7750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S12.png"/>
                    <pic:cNvPicPr/>
                  </pic:nvPicPr>
                  <pic:blipFill rotWithShape="1">
                    <a:blip r:embed="rId17"/>
                    <a:srcRect r="24248" b="12692"/>
                    <a:stretch/>
                  </pic:blipFill>
                  <pic:spPr bwMode="auto">
                    <a:xfrm>
                      <a:off x="0" y="0"/>
                      <a:ext cx="4550495" cy="7750628"/>
                    </a:xfrm>
                    <a:prstGeom prst="rect">
                      <a:avLst/>
                    </a:prstGeom>
                    <a:ln>
                      <a:noFill/>
                    </a:ln>
                    <a:extLst>
                      <a:ext uri="{53640926-AAD7-44D8-BBD7-CCE9431645EC}">
                        <a14:shadowObscured xmlns:a14="http://schemas.microsoft.com/office/drawing/2010/main"/>
                      </a:ext>
                    </a:extLst>
                  </pic:spPr>
                </pic:pic>
              </a:graphicData>
            </a:graphic>
          </wp:inline>
        </w:drawing>
      </w:r>
    </w:p>
    <w:p w14:paraId="323476FE" w14:textId="144C6B94" w:rsidR="00917AD6" w:rsidRDefault="000D0525" w:rsidP="000D0525">
      <w:pPr>
        <w:spacing w:line="480" w:lineRule="auto"/>
        <w:jc w:val="both"/>
        <w:rPr>
          <w:rFonts w:ascii="Arial" w:hAnsi="Arial"/>
          <w:sz w:val="18"/>
          <w:szCs w:val="18"/>
          <w:lang w:val="en-US"/>
        </w:rPr>
      </w:pPr>
      <w:r w:rsidRPr="00917AD6">
        <w:rPr>
          <w:rFonts w:ascii="Arial" w:hAnsi="Arial" w:cs="Verdana"/>
          <w:b/>
          <w:sz w:val="18"/>
          <w:szCs w:val="18"/>
          <w:lang w:val="en-US"/>
        </w:rPr>
        <w:t>Figure S</w:t>
      </w:r>
      <w:r w:rsidR="005B5159">
        <w:rPr>
          <w:rFonts w:ascii="Arial" w:hAnsi="Arial" w:cs="Verdana"/>
          <w:b/>
          <w:sz w:val="18"/>
          <w:szCs w:val="18"/>
          <w:lang w:val="en-US"/>
        </w:rPr>
        <w:t>1</w:t>
      </w:r>
      <w:r w:rsidR="003C6397">
        <w:rPr>
          <w:rFonts w:ascii="Arial" w:hAnsi="Arial" w:cs="Verdana"/>
          <w:b/>
          <w:sz w:val="18"/>
          <w:szCs w:val="18"/>
          <w:lang w:val="en-US"/>
        </w:rPr>
        <w:t>2</w:t>
      </w:r>
      <w:r w:rsidRPr="00917AD6">
        <w:rPr>
          <w:rFonts w:ascii="Arial" w:hAnsi="Arial" w:cs="Verdana"/>
          <w:b/>
          <w:sz w:val="18"/>
          <w:szCs w:val="18"/>
          <w:lang w:val="en-US"/>
        </w:rPr>
        <w:t>. Naïve P14, P14 and DexGP-33 T</w:t>
      </w:r>
      <w:r w:rsidRPr="00917AD6">
        <w:rPr>
          <w:rFonts w:ascii="Arial" w:hAnsi="Arial" w:cs="Verdana"/>
          <w:b/>
          <w:sz w:val="18"/>
          <w:szCs w:val="18"/>
          <w:vertAlign w:val="subscript"/>
          <w:lang w:val="en-US"/>
        </w:rPr>
        <w:t>EFF</w:t>
      </w:r>
      <w:r w:rsidRPr="00917AD6">
        <w:rPr>
          <w:rFonts w:ascii="Arial" w:hAnsi="Arial" w:cs="Verdana"/>
          <w:b/>
          <w:sz w:val="18"/>
          <w:szCs w:val="18"/>
          <w:lang w:val="en-US"/>
        </w:rPr>
        <w:t xml:space="preserve"> expression of a set of genes involved in </w:t>
      </w:r>
      <w:r w:rsidR="00E611CC">
        <w:rPr>
          <w:rFonts w:ascii="Arial" w:hAnsi="Arial" w:cs="Verdana"/>
          <w:b/>
          <w:sz w:val="18"/>
          <w:szCs w:val="18"/>
          <w:lang w:val="en-US"/>
        </w:rPr>
        <w:t>CTL</w:t>
      </w:r>
      <w:r w:rsidRPr="00917AD6">
        <w:rPr>
          <w:rFonts w:ascii="Arial" w:hAnsi="Arial" w:cs="Verdana"/>
          <w:b/>
          <w:sz w:val="18"/>
          <w:szCs w:val="18"/>
          <w:lang w:val="en-US"/>
        </w:rPr>
        <w:t xml:space="preserve"> function.</w:t>
      </w:r>
    </w:p>
    <w:p w14:paraId="23628F87" w14:textId="77777777" w:rsidR="00D32F90" w:rsidRDefault="00D32F90" w:rsidP="00D32F90">
      <w:pPr>
        <w:spacing w:line="480" w:lineRule="auto"/>
        <w:jc w:val="both"/>
        <w:rPr>
          <w:rFonts w:ascii="Arial" w:hAnsi="Arial"/>
          <w:sz w:val="18"/>
          <w:szCs w:val="18"/>
          <w:lang w:val="en-US"/>
        </w:rPr>
      </w:pPr>
      <w:r w:rsidRPr="00917AD6">
        <w:rPr>
          <w:rFonts w:ascii="Arial" w:hAnsi="Arial"/>
          <w:sz w:val="18"/>
          <w:szCs w:val="18"/>
          <w:lang w:val="en-US"/>
        </w:rPr>
        <w:t xml:space="preserve">(a) </w:t>
      </w:r>
      <w:r w:rsidRPr="00917AD6">
        <w:rPr>
          <w:rFonts w:ascii="Arial" w:hAnsi="Arial" w:cs="Verdana"/>
          <w:b/>
          <w:sz w:val="18"/>
          <w:szCs w:val="18"/>
          <w:lang w:val="en-US"/>
        </w:rPr>
        <w:t xml:space="preserve"> </w:t>
      </w:r>
      <w:r w:rsidRPr="00917AD6">
        <w:rPr>
          <w:rFonts w:ascii="Arial" w:hAnsi="Arial" w:cs="Arial"/>
          <w:sz w:val="18"/>
          <w:szCs w:val="18"/>
          <w:lang w:val="en-US"/>
        </w:rPr>
        <w:t xml:space="preserve">Relative expression levels of genes in </w:t>
      </w:r>
      <w:r w:rsidRPr="00917AD6">
        <w:rPr>
          <w:rFonts w:ascii="Arial" w:hAnsi="Arial"/>
          <w:sz w:val="18"/>
          <w:szCs w:val="18"/>
          <w:lang w:val="en-US"/>
        </w:rPr>
        <w:t>Dex-GP-33 T</w:t>
      </w:r>
      <w:r w:rsidRPr="00917AD6">
        <w:rPr>
          <w:rFonts w:ascii="Arial" w:hAnsi="Arial"/>
          <w:sz w:val="18"/>
          <w:szCs w:val="18"/>
          <w:vertAlign w:val="subscript"/>
          <w:lang w:val="en-US"/>
        </w:rPr>
        <w:t xml:space="preserve">EFF </w:t>
      </w:r>
      <w:r w:rsidRPr="00917AD6">
        <w:rPr>
          <w:rFonts w:ascii="Arial" w:hAnsi="Arial"/>
          <w:sz w:val="18"/>
          <w:szCs w:val="18"/>
          <w:lang w:val="en-US"/>
        </w:rPr>
        <w:t xml:space="preserve">from control and anti-LFA-1 </w:t>
      </w:r>
      <w:r>
        <w:rPr>
          <w:rFonts w:ascii="Arial" w:hAnsi="Arial"/>
          <w:sz w:val="18"/>
          <w:szCs w:val="18"/>
          <w:lang w:val="en-US"/>
        </w:rPr>
        <w:t xml:space="preserve">Mab </w:t>
      </w:r>
      <w:r w:rsidRPr="00917AD6">
        <w:rPr>
          <w:rFonts w:ascii="Arial" w:hAnsi="Arial"/>
          <w:sz w:val="18"/>
          <w:szCs w:val="18"/>
          <w:lang w:val="en-US"/>
        </w:rPr>
        <w:t>treated mice in comparison to P14 LFA1</w:t>
      </w:r>
      <w:r w:rsidRPr="00917AD6">
        <w:rPr>
          <w:rFonts w:ascii="Arial" w:hAnsi="Arial"/>
          <w:sz w:val="18"/>
          <w:szCs w:val="18"/>
          <w:vertAlign w:val="superscript"/>
          <w:lang w:val="en-US"/>
        </w:rPr>
        <w:t>+/+</w:t>
      </w:r>
      <w:r w:rsidRPr="00917AD6">
        <w:rPr>
          <w:rFonts w:ascii="Arial" w:hAnsi="Arial"/>
          <w:sz w:val="18"/>
          <w:szCs w:val="18"/>
          <w:lang w:val="en-US"/>
        </w:rPr>
        <w:t xml:space="preserve"> naïve cells.  (b) </w:t>
      </w:r>
      <w:r w:rsidRPr="00917AD6">
        <w:rPr>
          <w:rFonts w:ascii="Arial" w:hAnsi="Arial" w:cs="Arial"/>
          <w:sz w:val="18"/>
          <w:szCs w:val="18"/>
          <w:lang w:val="en-US"/>
        </w:rPr>
        <w:t xml:space="preserve">Relative expression levels of genes in </w:t>
      </w:r>
      <w:r w:rsidRPr="00917AD6">
        <w:rPr>
          <w:rFonts w:ascii="Arial" w:hAnsi="Arial"/>
          <w:sz w:val="18"/>
          <w:szCs w:val="18"/>
          <w:lang w:val="en-US"/>
        </w:rPr>
        <w:t>LFA1</w:t>
      </w:r>
      <w:r w:rsidRPr="00917AD6">
        <w:rPr>
          <w:rFonts w:ascii="Arial" w:hAnsi="Arial"/>
          <w:sz w:val="18"/>
          <w:szCs w:val="18"/>
          <w:vertAlign w:val="superscript"/>
          <w:lang w:val="en-US"/>
        </w:rPr>
        <w:t xml:space="preserve">+/+ </w:t>
      </w:r>
      <w:r w:rsidRPr="00917AD6">
        <w:rPr>
          <w:rFonts w:ascii="Arial" w:hAnsi="Arial"/>
          <w:sz w:val="18"/>
          <w:szCs w:val="18"/>
          <w:lang w:val="en-US"/>
        </w:rPr>
        <w:t>and LFA1</w:t>
      </w:r>
      <w:r w:rsidRPr="00917AD6">
        <w:rPr>
          <w:rFonts w:ascii="Arial" w:hAnsi="Arial"/>
          <w:sz w:val="18"/>
          <w:szCs w:val="18"/>
          <w:vertAlign w:val="superscript"/>
          <w:lang w:val="en-US"/>
        </w:rPr>
        <w:t>-/-</w:t>
      </w:r>
      <w:r w:rsidRPr="00917AD6">
        <w:rPr>
          <w:rFonts w:ascii="Arial" w:hAnsi="Arial"/>
          <w:sz w:val="18"/>
          <w:szCs w:val="18"/>
          <w:lang w:val="en-US"/>
        </w:rPr>
        <w:t xml:space="preserve"> P14</w:t>
      </w:r>
      <w:r>
        <w:rPr>
          <w:rFonts w:ascii="Arial" w:hAnsi="Arial"/>
          <w:sz w:val="18"/>
          <w:szCs w:val="18"/>
          <w:lang w:val="en-US"/>
        </w:rPr>
        <w:t xml:space="preserve"> </w:t>
      </w:r>
      <w:r w:rsidRPr="00917AD6">
        <w:rPr>
          <w:rFonts w:ascii="Arial" w:hAnsi="Arial"/>
          <w:sz w:val="18"/>
          <w:szCs w:val="18"/>
          <w:lang w:val="en-US"/>
        </w:rPr>
        <w:t>T</w:t>
      </w:r>
      <w:r w:rsidRPr="00917AD6">
        <w:rPr>
          <w:rFonts w:ascii="Arial" w:hAnsi="Arial"/>
          <w:sz w:val="18"/>
          <w:szCs w:val="18"/>
          <w:vertAlign w:val="subscript"/>
          <w:lang w:val="en-US"/>
        </w:rPr>
        <w:t>EFF</w:t>
      </w:r>
      <w:r w:rsidRPr="00917AD6">
        <w:rPr>
          <w:rFonts w:ascii="Arial" w:hAnsi="Arial"/>
          <w:sz w:val="18"/>
          <w:szCs w:val="18"/>
          <w:lang w:val="en-US"/>
        </w:rPr>
        <w:t xml:space="preserve"> in comparison to LFA1</w:t>
      </w:r>
      <w:r w:rsidRPr="00917AD6">
        <w:rPr>
          <w:rFonts w:ascii="Arial" w:hAnsi="Arial"/>
          <w:sz w:val="18"/>
          <w:szCs w:val="18"/>
          <w:vertAlign w:val="superscript"/>
          <w:lang w:val="en-US"/>
        </w:rPr>
        <w:t>+/+</w:t>
      </w:r>
      <w:r w:rsidRPr="00917AD6">
        <w:rPr>
          <w:rFonts w:ascii="Arial" w:hAnsi="Arial"/>
          <w:sz w:val="18"/>
          <w:szCs w:val="18"/>
          <w:lang w:val="en-US"/>
        </w:rPr>
        <w:t xml:space="preserve"> and LFA1</w:t>
      </w:r>
      <w:r w:rsidRPr="00917AD6">
        <w:rPr>
          <w:rFonts w:ascii="Arial" w:hAnsi="Arial"/>
          <w:sz w:val="18"/>
          <w:szCs w:val="18"/>
          <w:vertAlign w:val="superscript"/>
          <w:lang w:val="en-US"/>
        </w:rPr>
        <w:t>-/-</w:t>
      </w:r>
      <w:r w:rsidRPr="00917AD6">
        <w:rPr>
          <w:rFonts w:ascii="Arial" w:hAnsi="Arial"/>
          <w:sz w:val="18"/>
          <w:szCs w:val="18"/>
          <w:lang w:val="en-US"/>
        </w:rPr>
        <w:t xml:space="preserve"> P14 naïve cells.</w:t>
      </w:r>
    </w:p>
    <w:p w14:paraId="0E10F42C" w14:textId="6D2AF0BE" w:rsidR="000D0525" w:rsidRDefault="000D0525" w:rsidP="00130943">
      <w:pPr>
        <w:spacing w:line="480" w:lineRule="auto"/>
        <w:jc w:val="both"/>
        <w:rPr>
          <w:rFonts w:ascii="Arial" w:hAnsi="Arial"/>
          <w:b/>
          <w:sz w:val="22"/>
          <w:szCs w:val="22"/>
          <w:lang w:val="en-US"/>
        </w:rPr>
      </w:pPr>
    </w:p>
    <w:p w14:paraId="3B740677" w14:textId="1A4642F5" w:rsidR="000D0525" w:rsidRPr="00D020B9" w:rsidRDefault="000D0525" w:rsidP="000D0525">
      <w:pPr>
        <w:spacing w:line="480" w:lineRule="auto"/>
        <w:jc w:val="both"/>
        <w:rPr>
          <w:rFonts w:ascii="Arial" w:hAnsi="Arial" w:cs="Verdana"/>
          <w:sz w:val="22"/>
          <w:szCs w:val="22"/>
          <w:lang w:val="en-US"/>
        </w:rPr>
      </w:pPr>
      <w:r w:rsidRPr="00D020B9">
        <w:rPr>
          <w:rFonts w:ascii="Arial" w:hAnsi="Arial"/>
          <w:b/>
          <w:sz w:val="22"/>
          <w:szCs w:val="22"/>
          <w:lang w:val="en-US"/>
        </w:rPr>
        <w:lastRenderedPageBreak/>
        <w:t xml:space="preserve">Table S1. GSEA of BIOCARTA </w:t>
      </w:r>
      <w:r w:rsidRPr="00D020B9">
        <w:rPr>
          <w:rFonts w:ascii="Arial" w:hAnsi="Arial" w:cs="Helvetica"/>
          <w:b/>
          <w:sz w:val="22"/>
          <w:szCs w:val="22"/>
          <w:lang w:val="en-US"/>
        </w:rPr>
        <w:t xml:space="preserve">curated gene sets from the </w:t>
      </w:r>
      <w:r w:rsidRPr="00D020B9">
        <w:rPr>
          <w:rFonts w:ascii="Arial" w:hAnsi="Arial" w:cs="Verdana"/>
          <w:b/>
          <w:sz w:val="22"/>
          <w:szCs w:val="22"/>
          <w:lang w:val="en-US"/>
        </w:rPr>
        <w:t xml:space="preserve">Molecular Signatures Database (MSigDB) </w:t>
      </w:r>
      <w:r w:rsidRPr="00D020B9">
        <w:rPr>
          <w:rFonts w:ascii="Arial" w:hAnsi="Arial"/>
          <w:b/>
          <w:sz w:val="22"/>
          <w:szCs w:val="22"/>
          <w:lang w:val="en-US"/>
        </w:rPr>
        <w:t xml:space="preserve">specifically enriched on CD8 T cells upon anti-LFA-1 ab treatment. </w:t>
      </w:r>
      <w:r w:rsidRPr="00D020B9">
        <w:rPr>
          <w:rFonts w:ascii="Arial" w:hAnsi="Arial" w:cs="Verdana"/>
          <w:sz w:val="22"/>
          <w:szCs w:val="22"/>
          <w:lang w:val="en-US"/>
        </w:rPr>
        <w:t>GSEA analysis was used to identify cellular pathways significantly enriched in GP33+ specific CD8 T cells from 5x10</w:t>
      </w:r>
      <w:r w:rsidRPr="00D020B9">
        <w:rPr>
          <w:rFonts w:ascii="Arial" w:hAnsi="Arial" w:cs="Verdana"/>
          <w:sz w:val="22"/>
          <w:szCs w:val="22"/>
          <w:vertAlign w:val="superscript"/>
          <w:lang w:val="en-US"/>
        </w:rPr>
        <w:t>4</w:t>
      </w:r>
      <w:r w:rsidRPr="00D020B9">
        <w:rPr>
          <w:rFonts w:ascii="Arial" w:hAnsi="Arial" w:cs="Verdana"/>
          <w:sz w:val="22"/>
          <w:szCs w:val="22"/>
          <w:lang w:val="en-US"/>
        </w:rPr>
        <w:t xml:space="preserve"> pfu LCMV-C</w:t>
      </w:r>
      <w:r w:rsidR="00015A37">
        <w:rPr>
          <w:rFonts w:ascii="Arial" w:hAnsi="Arial" w:cs="Verdana"/>
          <w:sz w:val="22"/>
          <w:szCs w:val="22"/>
          <w:lang w:val="en-US"/>
        </w:rPr>
        <w:t>L</w:t>
      </w:r>
      <w:r w:rsidRPr="00D020B9">
        <w:rPr>
          <w:rFonts w:ascii="Arial" w:hAnsi="Arial" w:cs="Verdana"/>
          <w:sz w:val="22"/>
          <w:szCs w:val="22"/>
          <w:lang w:val="en-US"/>
        </w:rPr>
        <w:t xml:space="preserve">13 infected mice treated with anti-LFA-1 </w:t>
      </w:r>
      <w:r>
        <w:rPr>
          <w:rFonts w:ascii="Arial" w:hAnsi="Arial" w:cs="Verdana"/>
          <w:sz w:val="22"/>
          <w:szCs w:val="22"/>
          <w:lang w:val="en-US"/>
        </w:rPr>
        <w:t>M</w:t>
      </w:r>
      <w:r w:rsidRPr="00D020B9">
        <w:rPr>
          <w:rFonts w:ascii="Arial" w:hAnsi="Arial" w:cs="Verdana"/>
          <w:sz w:val="22"/>
          <w:szCs w:val="22"/>
          <w:lang w:val="en-US"/>
        </w:rPr>
        <w:t>ab in comparison to those from PBS treated mice. Cut off was established as FDR &lt;</w:t>
      </w:r>
      <w:r>
        <w:rPr>
          <w:rFonts w:ascii="Arial" w:hAnsi="Arial" w:cs="Verdana"/>
          <w:sz w:val="22"/>
          <w:szCs w:val="22"/>
          <w:lang w:val="en-US"/>
        </w:rPr>
        <w:t>2</w:t>
      </w:r>
      <w:r w:rsidRPr="00D020B9">
        <w:rPr>
          <w:rFonts w:ascii="Arial" w:hAnsi="Arial" w:cs="Verdana"/>
          <w:sz w:val="22"/>
          <w:szCs w:val="22"/>
          <w:lang w:val="en-US"/>
        </w:rPr>
        <w:t>0%</w:t>
      </w:r>
      <w:r>
        <w:rPr>
          <w:rFonts w:ascii="Arial" w:hAnsi="Arial" w:cs="Verdana"/>
          <w:sz w:val="22"/>
          <w:szCs w:val="22"/>
          <w:lang w:val="en-US"/>
        </w:rPr>
        <w:t xml:space="preserve"> and p&lt;0.05.</w:t>
      </w:r>
    </w:p>
    <w:p w14:paraId="6D28CBD5" w14:textId="77777777" w:rsidR="000D0525" w:rsidRPr="00D020B9" w:rsidRDefault="000D0525" w:rsidP="000D0525">
      <w:pPr>
        <w:spacing w:line="480" w:lineRule="auto"/>
        <w:jc w:val="both"/>
        <w:rPr>
          <w:rFonts w:ascii="Arial" w:hAnsi="Arial" w:cs="Verdana"/>
          <w:sz w:val="22"/>
          <w:szCs w:val="22"/>
          <w:lang w:val="en-US"/>
        </w:rPr>
      </w:pPr>
    </w:p>
    <w:p w14:paraId="5120AAF5" w14:textId="5A175D72" w:rsidR="000D0525" w:rsidRPr="00D020B9" w:rsidRDefault="000D0525" w:rsidP="000D0525">
      <w:pPr>
        <w:spacing w:line="480" w:lineRule="auto"/>
        <w:jc w:val="both"/>
        <w:rPr>
          <w:rFonts w:ascii="Arial" w:hAnsi="Arial" w:cs="Verdana"/>
          <w:sz w:val="22"/>
          <w:szCs w:val="22"/>
          <w:lang w:val="en-US"/>
        </w:rPr>
      </w:pPr>
      <w:r w:rsidRPr="00D020B9">
        <w:rPr>
          <w:rFonts w:ascii="Arial" w:hAnsi="Arial"/>
          <w:b/>
          <w:sz w:val="22"/>
          <w:szCs w:val="22"/>
          <w:lang w:val="en-US"/>
        </w:rPr>
        <w:t xml:space="preserve">Table S2. GSEA of BIOCARTA </w:t>
      </w:r>
      <w:r w:rsidRPr="00D020B9">
        <w:rPr>
          <w:rFonts w:ascii="Arial" w:hAnsi="Arial" w:cs="Helvetica"/>
          <w:b/>
          <w:sz w:val="22"/>
          <w:szCs w:val="22"/>
          <w:lang w:val="en-US"/>
        </w:rPr>
        <w:t xml:space="preserve">curated gene sets from the </w:t>
      </w:r>
      <w:r w:rsidRPr="00D020B9">
        <w:rPr>
          <w:rFonts w:ascii="Arial" w:hAnsi="Arial" w:cs="Verdana"/>
          <w:b/>
          <w:sz w:val="22"/>
          <w:szCs w:val="22"/>
          <w:lang w:val="en-US"/>
        </w:rPr>
        <w:t xml:space="preserve">Molecular Signatures Database (MSigDB) </w:t>
      </w:r>
      <w:r w:rsidRPr="00D020B9">
        <w:rPr>
          <w:rFonts w:ascii="Arial" w:hAnsi="Arial"/>
          <w:b/>
          <w:sz w:val="22"/>
          <w:szCs w:val="22"/>
          <w:lang w:val="en-US"/>
        </w:rPr>
        <w:t>specifically enriched on P14 LFA-1</w:t>
      </w:r>
      <w:r w:rsidRPr="00D020B9">
        <w:rPr>
          <w:rFonts w:ascii="Arial" w:hAnsi="Arial"/>
          <w:b/>
          <w:sz w:val="22"/>
          <w:szCs w:val="22"/>
          <w:vertAlign w:val="superscript"/>
          <w:lang w:val="en-US"/>
        </w:rPr>
        <w:t xml:space="preserve">-/- </w:t>
      </w:r>
      <w:r w:rsidRPr="00D020B9">
        <w:rPr>
          <w:rFonts w:ascii="Arial" w:hAnsi="Arial"/>
          <w:b/>
          <w:sz w:val="22"/>
          <w:szCs w:val="22"/>
          <w:lang w:val="en-US"/>
        </w:rPr>
        <w:t xml:space="preserve">T cells after LCMV infection. </w:t>
      </w:r>
      <w:r w:rsidRPr="00D020B9">
        <w:rPr>
          <w:rFonts w:ascii="Arial" w:hAnsi="Arial" w:cs="Verdana"/>
          <w:sz w:val="22"/>
          <w:szCs w:val="22"/>
          <w:lang w:val="en-US"/>
        </w:rPr>
        <w:t xml:space="preserve">GSEA analysis was used to identify cellular pathways significantly enriched in day 9 p.i. </w:t>
      </w:r>
      <w:r w:rsidRPr="00D020B9">
        <w:rPr>
          <w:rFonts w:ascii="Arial" w:hAnsi="Arial"/>
          <w:sz w:val="22"/>
          <w:szCs w:val="22"/>
          <w:lang w:val="en-US"/>
        </w:rPr>
        <w:t>LFA-1</w:t>
      </w:r>
      <w:r w:rsidRPr="00D020B9">
        <w:rPr>
          <w:rFonts w:ascii="Arial" w:hAnsi="Arial"/>
          <w:sz w:val="22"/>
          <w:szCs w:val="22"/>
          <w:vertAlign w:val="superscript"/>
          <w:lang w:val="en-US"/>
        </w:rPr>
        <w:t xml:space="preserve">-/- </w:t>
      </w:r>
      <w:r w:rsidRPr="00D020B9">
        <w:rPr>
          <w:rFonts w:ascii="Arial" w:hAnsi="Arial"/>
          <w:sz w:val="22"/>
          <w:szCs w:val="22"/>
          <w:lang w:val="en-US"/>
        </w:rPr>
        <w:t>P14 T</w:t>
      </w:r>
      <w:r w:rsidRPr="00D020B9">
        <w:rPr>
          <w:rFonts w:ascii="Arial" w:hAnsi="Arial"/>
          <w:sz w:val="22"/>
          <w:szCs w:val="22"/>
          <w:vertAlign w:val="subscript"/>
          <w:lang w:val="en-US"/>
        </w:rPr>
        <w:t>EFF</w:t>
      </w:r>
      <w:r w:rsidRPr="00D020B9">
        <w:rPr>
          <w:rFonts w:ascii="Arial" w:hAnsi="Arial"/>
          <w:sz w:val="22"/>
          <w:szCs w:val="22"/>
          <w:lang w:val="en-US"/>
        </w:rPr>
        <w:t xml:space="preserve"> </w:t>
      </w:r>
      <w:r w:rsidRPr="00D020B9">
        <w:rPr>
          <w:rFonts w:ascii="Arial" w:hAnsi="Arial" w:cs="Verdana"/>
          <w:sz w:val="22"/>
          <w:szCs w:val="22"/>
          <w:lang w:val="en-US"/>
        </w:rPr>
        <w:t xml:space="preserve">in comparison to </w:t>
      </w:r>
      <w:r w:rsidRPr="00D020B9">
        <w:rPr>
          <w:rFonts w:ascii="Arial" w:hAnsi="Arial"/>
          <w:sz w:val="22"/>
          <w:szCs w:val="22"/>
          <w:lang w:val="en-US"/>
        </w:rPr>
        <w:t>LFA-1</w:t>
      </w:r>
      <w:r w:rsidRPr="00D020B9">
        <w:rPr>
          <w:rFonts w:ascii="Arial" w:hAnsi="Arial"/>
          <w:sz w:val="22"/>
          <w:szCs w:val="22"/>
          <w:vertAlign w:val="superscript"/>
          <w:lang w:val="en-US"/>
        </w:rPr>
        <w:t xml:space="preserve">+/+ </w:t>
      </w:r>
      <w:r w:rsidRPr="00D020B9">
        <w:rPr>
          <w:rFonts w:ascii="Arial" w:hAnsi="Arial"/>
          <w:sz w:val="22"/>
          <w:szCs w:val="22"/>
          <w:lang w:val="en-US"/>
        </w:rPr>
        <w:t>P14 T</w:t>
      </w:r>
      <w:r w:rsidRPr="00D020B9">
        <w:rPr>
          <w:rFonts w:ascii="Arial" w:hAnsi="Arial"/>
          <w:sz w:val="22"/>
          <w:szCs w:val="22"/>
          <w:vertAlign w:val="subscript"/>
          <w:lang w:val="en-US"/>
        </w:rPr>
        <w:t>EFF</w:t>
      </w:r>
      <w:r w:rsidRPr="00D020B9">
        <w:rPr>
          <w:rFonts w:ascii="Arial" w:hAnsi="Arial"/>
          <w:sz w:val="22"/>
          <w:szCs w:val="22"/>
          <w:lang w:val="en-US"/>
        </w:rPr>
        <w:t xml:space="preserve"> </w:t>
      </w:r>
      <w:r w:rsidRPr="00D020B9">
        <w:rPr>
          <w:rFonts w:ascii="Arial" w:hAnsi="Arial" w:cs="Verdana"/>
          <w:sz w:val="22"/>
          <w:szCs w:val="22"/>
          <w:lang w:val="en-US"/>
        </w:rPr>
        <w:t>from 5x10</w:t>
      </w:r>
      <w:r w:rsidRPr="00D020B9">
        <w:rPr>
          <w:rFonts w:ascii="Arial" w:hAnsi="Arial" w:cs="Verdana"/>
          <w:sz w:val="22"/>
          <w:szCs w:val="22"/>
          <w:vertAlign w:val="superscript"/>
          <w:lang w:val="en-US"/>
        </w:rPr>
        <w:t>4</w:t>
      </w:r>
      <w:r w:rsidRPr="00D020B9">
        <w:rPr>
          <w:rFonts w:ascii="Arial" w:hAnsi="Arial" w:cs="Verdana"/>
          <w:sz w:val="22"/>
          <w:szCs w:val="22"/>
          <w:lang w:val="en-US"/>
        </w:rPr>
        <w:t xml:space="preserve"> pfu LCMV-C</w:t>
      </w:r>
      <w:r w:rsidR="00015A37">
        <w:rPr>
          <w:rFonts w:ascii="Arial" w:hAnsi="Arial" w:cs="Verdana"/>
          <w:sz w:val="22"/>
          <w:szCs w:val="22"/>
          <w:lang w:val="en-US"/>
        </w:rPr>
        <w:t>L</w:t>
      </w:r>
      <w:r w:rsidRPr="00D020B9">
        <w:rPr>
          <w:rFonts w:ascii="Arial" w:hAnsi="Arial" w:cs="Verdana"/>
          <w:sz w:val="22"/>
          <w:szCs w:val="22"/>
          <w:lang w:val="en-US"/>
        </w:rPr>
        <w:t>13 infected mice. Cut off was established as FDR &lt;</w:t>
      </w:r>
      <w:r>
        <w:rPr>
          <w:rFonts w:ascii="Arial" w:hAnsi="Arial" w:cs="Verdana"/>
          <w:sz w:val="22"/>
          <w:szCs w:val="22"/>
          <w:lang w:val="en-US"/>
        </w:rPr>
        <w:t>2</w:t>
      </w:r>
      <w:r w:rsidRPr="00D020B9">
        <w:rPr>
          <w:rFonts w:ascii="Arial" w:hAnsi="Arial" w:cs="Verdana"/>
          <w:sz w:val="22"/>
          <w:szCs w:val="22"/>
          <w:lang w:val="en-US"/>
        </w:rPr>
        <w:t>0%</w:t>
      </w:r>
      <w:r>
        <w:rPr>
          <w:rFonts w:ascii="Arial" w:hAnsi="Arial" w:cs="Verdana"/>
          <w:sz w:val="22"/>
          <w:szCs w:val="22"/>
          <w:lang w:val="en-US"/>
        </w:rPr>
        <w:t xml:space="preserve"> and p&lt;0.05.</w:t>
      </w:r>
    </w:p>
    <w:p w14:paraId="6D4B4727" w14:textId="77777777" w:rsidR="000D0525" w:rsidRPr="00D020B9" w:rsidRDefault="000D0525" w:rsidP="000D0525">
      <w:pPr>
        <w:spacing w:line="480" w:lineRule="auto"/>
        <w:jc w:val="both"/>
        <w:rPr>
          <w:rFonts w:ascii="Arial" w:hAnsi="Arial"/>
          <w:b/>
          <w:sz w:val="22"/>
          <w:szCs w:val="22"/>
          <w:lang w:val="en-US"/>
        </w:rPr>
      </w:pPr>
    </w:p>
    <w:p w14:paraId="7BF58E50" w14:textId="77777777" w:rsidR="000D0525" w:rsidRPr="00D020B9" w:rsidRDefault="000D0525" w:rsidP="000D0525">
      <w:pPr>
        <w:spacing w:line="480" w:lineRule="auto"/>
        <w:jc w:val="both"/>
        <w:rPr>
          <w:rFonts w:ascii="Arial" w:hAnsi="Arial"/>
          <w:b/>
          <w:sz w:val="22"/>
          <w:szCs w:val="22"/>
          <w:lang w:val="en-US"/>
        </w:rPr>
      </w:pPr>
    </w:p>
    <w:p w14:paraId="166189AD" w14:textId="77777777" w:rsidR="000D0525" w:rsidRPr="00D020B9" w:rsidRDefault="000D0525" w:rsidP="000D0525">
      <w:pPr>
        <w:spacing w:after="120" w:line="480" w:lineRule="auto"/>
        <w:jc w:val="both"/>
        <w:rPr>
          <w:rFonts w:ascii="Arial" w:eastAsia="Arial Unicode MS" w:hAnsi="Arial" w:cs="Arial"/>
          <w:b/>
          <w:sz w:val="22"/>
          <w:szCs w:val="22"/>
          <w:lang w:val="en-US"/>
        </w:rPr>
      </w:pPr>
    </w:p>
    <w:p w14:paraId="36EB7A01" w14:textId="77777777" w:rsidR="000D0525" w:rsidRPr="00D020B9" w:rsidRDefault="000D0525" w:rsidP="000D0525">
      <w:pPr>
        <w:spacing w:after="120" w:line="480" w:lineRule="auto"/>
        <w:jc w:val="both"/>
        <w:rPr>
          <w:rFonts w:ascii="Arial" w:eastAsia="Arial Unicode MS" w:hAnsi="Arial" w:cs="Arial"/>
          <w:b/>
          <w:sz w:val="22"/>
          <w:szCs w:val="22"/>
          <w:lang w:val="en-US"/>
        </w:rPr>
      </w:pPr>
    </w:p>
    <w:p w14:paraId="02B44F22" w14:textId="77777777" w:rsidR="000D0525" w:rsidRPr="00D020B9" w:rsidRDefault="000D0525" w:rsidP="000D0525">
      <w:pPr>
        <w:spacing w:line="480" w:lineRule="auto"/>
        <w:jc w:val="both"/>
        <w:rPr>
          <w:lang w:val="en-US"/>
        </w:rPr>
      </w:pPr>
    </w:p>
    <w:p w14:paraId="5A4C8BDD" w14:textId="77777777" w:rsidR="000D0525" w:rsidRPr="00D020B9" w:rsidRDefault="000D0525" w:rsidP="000D0525">
      <w:pPr>
        <w:spacing w:line="480" w:lineRule="auto"/>
        <w:jc w:val="both"/>
        <w:rPr>
          <w:rFonts w:ascii="Arial" w:hAnsi="Arial" w:cs="Arial"/>
          <w:sz w:val="22"/>
          <w:szCs w:val="22"/>
          <w:lang w:val="en-US"/>
        </w:rPr>
      </w:pPr>
    </w:p>
    <w:p w14:paraId="459E8630" w14:textId="77777777" w:rsidR="000D0525" w:rsidRPr="00D020B9" w:rsidRDefault="000D0525" w:rsidP="000D0525">
      <w:pPr>
        <w:spacing w:line="480" w:lineRule="auto"/>
        <w:jc w:val="both"/>
        <w:rPr>
          <w:rFonts w:ascii="Arial" w:hAnsi="Arial" w:cs="Arial"/>
          <w:sz w:val="22"/>
          <w:szCs w:val="22"/>
          <w:lang w:val="en-US"/>
        </w:rPr>
      </w:pPr>
    </w:p>
    <w:p w14:paraId="6D8EB54E" w14:textId="77777777" w:rsidR="000D0525" w:rsidRDefault="000D0525" w:rsidP="000D0525">
      <w:pPr>
        <w:rPr>
          <w:rFonts w:ascii="Arial" w:hAnsi="Arial"/>
          <w:b/>
          <w:sz w:val="22"/>
          <w:szCs w:val="22"/>
          <w:lang w:val="en-US"/>
        </w:rPr>
      </w:pPr>
      <w:r>
        <w:rPr>
          <w:rFonts w:ascii="Arial" w:hAnsi="Arial"/>
          <w:b/>
          <w:sz w:val="22"/>
          <w:szCs w:val="22"/>
          <w:lang w:val="en-US"/>
        </w:rPr>
        <w:br w:type="page"/>
      </w:r>
    </w:p>
    <w:p w14:paraId="16CE5152" w14:textId="77777777" w:rsidR="000D0525" w:rsidRDefault="000D0525" w:rsidP="000D0525">
      <w:pPr>
        <w:spacing w:line="480" w:lineRule="auto"/>
        <w:jc w:val="both"/>
        <w:rPr>
          <w:rFonts w:ascii="Arial" w:hAnsi="Arial"/>
          <w:b/>
          <w:sz w:val="22"/>
          <w:szCs w:val="22"/>
          <w:lang w:val="en-US"/>
        </w:rPr>
      </w:pPr>
      <w:r w:rsidRPr="00D020B9">
        <w:rPr>
          <w:rFonts w:ascii="Arial" w:hAnsi="Arial"/>
          <w:b/>
          <w:sz w:val="22"/>
          <w:szCs w:val="22"/>
          <w:lang w:val="en-US"/>
        </w:rPr>
        <w:lastRenderedPageBreak/>
        <w:t xml:space="preserve">SUPPLEMENTAL </w:t>
      </w:r>
      <w:r>
        <w:rPr>
          <w:rFonts w:ascii="Arial" w:hAnsi="Arial"/>
          <w:b/>
          <w:sz w:val="22"/>
          <w:szCs w:val="22"/>
          <w:lang w:val="en-US"/>
        </w:rPr>
        <w:t>REFERENCES</w:t>
      </w:r>
    </w:p>
    <w:p w14:paraId="675780D6" w14:textId="77777777" w:rsidR="00012B4B" w:rsidRPr="00012B4B" w:rsidRDefault="000D0525" w:rsidP="00012B4B">
      <w:pPr>
        <w:pStyle w:val="Bibliography"/>
        <w:rPr>
          <w:lang w:val="en-US"/>
        </w:rPr>
      </w:pPr>
      <w:r>
        <w:rPr>
          <w:rFonts w:ascii="Arial" w:hAnsi="Arial"/>
          <w:b/>
          <w:sz w:val="22"/>
          <w:szCs w:val="22"/>
          <w:lang w:val="en-US"/>
        </w:rPr>
        <w:fldChar w:fldCharType="begin"/>
      </w:r>
      <w:r w:rsidR="00B1787C">
        <w:rPr>
          <w:rFonts w:ascii="Arial" w:hAnsi="Arial"/>
          <w:b/>
          <w:sz w:val="22"/>
          <w:szCs w:val="22"/>
          <w:lang w:val="en-US"/>
        </w:rPr>
        <w:instrText xml:space="preserve"> ADDIN ZOTERO_BIBL {"uncited":[],"omitted":[],"custom":[]} CSL_BIBLIOGRAPHY </w:instrText>
      </w:r>
      <w:r>
        <w:rPr>
          <w:rFonts w:ascii="Arial" w:hAnsi="Arial"/>
          <w:b/>
          <w:sz w:val="22"/>
          <w:szCs w:val="22"/>
          <w:lang w:val="en-US"/>
        </w:rPr>
        <w:fldChar w:fldCharType="separate"/>
      </w:r>
      <w:r w:rsidR="00012B4B" w:rsidRPr="00012B4B">
        <w:rPr>
          <w:lang w:val="en-US"/>
        </w:rPr>
        <w:t>1.</w:t>
      </w:r>
      <w:r w:rsidR="00012B4B" w:rsidRPr="00012B4B">
        <w:rPr>
          <w:lang w:val="en-US"/>
        </w:rPr>
        <w:tab/>
        <w:t xml:space="preserve">von Andrian, U. H. &amp; Mempel, T. R. Homing and cellular traffic in lymph nodes. </w:t>
      </w:r>
      <w:r w:rsidR="00012B4B" w:rsidRPr="00012B4B">
        <w:rPr>
          <w:i/>
          <w:iCs/>
          <w:lang w:val="en-US"/>
        </w:rPr>
        <w:t>Nat. Rev. Immunol.</w:t>
      </w:r>
      <w:r w:rsidR="00012B4B" w:rsidRPr="00012B4B">
        <w:rPr>
          <w:lang w:val="en-US"/>
        </w:rPr>
        <w:t xml:space="preserve"> </w:t>
      </w:r>
      <w:r w:rsidR="00012B4B" w:rsidRPr="00012B4B">
        <w:rPr>
          <w:b/>
          <w:bCs/>
          <w:lang w:val="en-US"/>
        </w:rPr>
        <w:t>3</w:t>
      </w:r>
      <w:r w:rsidR="00012B4B" w:rsidRPr="00012B4B">
        <w:rPr>
          <w:lang w:val="en-US"/>
        </w:rPr>
        <w:t>, 867–878 (2003).</w:t>
      </w:r>
    </w:p>
    <w:p w14:paraId="22F6739A" w14:textId="77777777" w:rsidR="00012B4B" w:rsidRPr="00012B4B" w:rsidRDefault="00012B4B" w:rsidP="00012B4B">
      <w:pPr>
        <w:pStyle w:val="Bibliography"/>
        <w:rPr>
          <w:lang w:val="en-US"/>
        </w:rPr>
      </w:pPr>
      <w:r w:rsidRPr="00012B4B">
        <w:rPr>
          <w:lang w:val="en-US"/>
        </w:rPr>
        <w:t>2.</w:t>
      </w:r>
      <w:r w:rsidRPr="00012B4B">
        <w:rPr>
          <w:lang w:val="en-US"/>
        </w:rPr>
        <w:tab/>
        <w:t xml:space="preserve">Link, A. </w:t>
      </w:r>
      <w:r w:rsidRPr="00012B4B">
        <w:rPr>
          <w:i/>
          <w:iCs/>
          <w:lang w:val="en-US"/>
        </w:rPr>
        <w:t>et al.</w:t>
      </w:r>
      <w:r w:rsidRPr="00012B4B">
        <w:rPr>
          <w:lang w:val="en-US"/>
        </w:rPr>
        <w:t xml:space="preserve"> Fibroblastic reticular cells in lymph nodes regulate the homeostasis of naive T cells. </w:t>
      </w:r>
      <w:r w:rsidRPr="00012B4B">
        <w:rPr>
          <w:i/>
          <w:iCs/>
          <w:lang w:val="en-US"/>
        </w:rPr>
        <w:t>Nat. Immunol.</w:t>
      </w:r>
      <w:r w:rsidRPr="00012B4B">
        <w:rPr>
          <w:lang w:val="en-US"/>
        </w:rPr>
        <w:t xml:space="preserve"> </w:t>
      </w:r>
      <w:r w:rsidRPr="00012B4B">
        <w:rPr>
          <w:b/>
          <w:bCs/>
          <w:lang w:val="en-US"/>
        </w:rPr>
        <w:t>8</w:t>
      </w:r>
      <w:r w:rsidRPr="00012B4B">
        <w:rPr>
          <w:lang w:val="en-US"/>
        </w:rPr>
        <w:t>, 1255–1265 (2007).</w:t>
      </w:r>
    </w:p>
    <w:p w14:paraId="63BD96F6" w14:textId="77777777" w:rsidR="00012B4B" w:rsidRPr="00012B4B" w:rsidRDefault="00012B4B" w:rsidP="00012B4B">
      <w:pPr>
        <w:pStyle w:val="Bibliography"/>
        <w:rPr>
          <w:lang w:val="en-US"/>
        </w:rPr>
      </w:pPr>
      <w:r w:rsidRPr="00012B4B">
        <w:rPr>
          <w:lang w:val="en-US"/>
        </w:rPr>
        <w:t>3.</w:t>
      </w:r>
      <w:r w:rsidRPr="00012B4B">
        <w:rPr>
          <w:lang w:val="en-US"/>
        </w:rPr>
        <w:tab/>
        <w:t xml:space="preserve">von Andrian, U. H. &amp; Mackay, C. R. T-cell function and migration. Two sides of the same coin. </w:t>
      </w:r>
      <w:r w:rsidRPr="00012B4B">
        <w:rPr>
          <w:i/>
          <w:iCs/>
          <w:lang w:val="en-US"/>
        </w:rPr>
        <w:t>N. Engl. J. Med.</w:t>
      </w:r>
      <w:r w:rsidRPr="00012B4B">
        <w:rPr>
          <w:lang w:val="en-US"/>
        </w:rPr>
        <w:t xml:space="preserve"> </w:t>
      </w:r>
      <w:r w:rsidRPr="00012B4B">
        <w:rPr>
          <w:b/>
          <w:bCs/>
          <w:lang w:val="en-US"/>
        </w:rPr>
        <w:t>343</w:t>
      </w:r>
      <w:r w:rsidRPr="00012B4B">
        <w:rPr>
          <w:lang w:val="en-US"/>
        </w:rPr>
        <w:t>, 1020–1034 (2000).</w:t>
      </w:r>
    </w:p>
    <w:p w14:paraId="7B554829" w14:textId="77777777" w:rsidR="00012B4B" w:rsidRPr="00012B4B" w:rsidRDefault="00012B4B" w:rsidP="00012B4B">
      <w:pPr>
        <w:pStyle w:val="Bibliography"/>
        <w:rPr>
          <w:lang w:val="en-US"/>
        </w:rPr>
      </w:pPr>
      <w:r w:rsidRPr="00012B4B">
        <w:rPr>
          <w:lang w:val="en-US"/>
        </w:rPr>
        <w:t>4.</w:t>
      </w:r>
      <w:r w:rsidRPr="00012B4B">
        <w:rPr>
          <w:lang w:val="en-US"/>
        </w:rPr>
        <w:tab/>
        <w:t xml:space="preserve">Park, E. J. </w:t>
      </w:r>
      <w:r w:rsidRPr="00012B4B">
        <w:rPr>
          <w:i/>
          <w:iCs/>
          <w:lang w:val="en-US"/>
        </w:rPr>
        <w:t>et al.</w:t>
      </w:r>
      <w:r w:rsidRPr="00012B4B">
        <w:rPr>
          <w:lang w:val="en-US"/>
        </w:rPr>
        <w:t xml:space="preserve"> Distinct roles for LFA-1 affinity regulation during T-cell adhesion, diapedesis, and interstitial migration in lymph nodes. </w:t>
      </w:r>
      <w:r w:rsidRPr="00012B4B">
        <w:rPr>
          <w:i/>
          <w:iCs/>
          <w:lang w:val="en-US"/>
        </w:rPr>
        <w:t>Blood</w:t>
      </w:r>
      <w:r w:rsidRPr="00012B4B">
        <w:rPr>
          <w:lang w:val="en-US"/>
        </w:rPr>
        <w:t xml:space="preserve"> </w:t>
      </w:r>
      <w:r w:rsidRPr="00012B4B">
        <w:rPr>
          <w:b/>
          <w:bCs/>
          <w:lang w:val="en-US"/>
        </w:rPr>
        <w:t>115</w:t>
      </w:r>
      <w:r w:rsidRPr="00012B4B">
        <w:rPr>
          <w:lang w:val="en-US"/>
        </w:rPr>
        <w:t>, 1572–1581 (2010).</w:t>
      </w:r>
    </w:p>
    <w:p w14:paraId="11BE4336" w14:textId="77777777" w:rsidR="00012B4B" w:rsidRPr="00012B4B" w:rsidRDefault="00012B4B" w:rsidP="00012B4B">
      <w:pPr>
        <w:pStyle w:val="Bibliography"/>
        <w:rPr>
          <w:lang w:val="en-US"/>
        </w:rPr>
      </w:pPr>
      <w:r w:rsidRPr="00012B4B">
        <w:rPr>
          <w:lang w:val="en-US"/>
        </w:rPr>
        <w:t>5.</w:t>
      </w:r>
      <w:r w:rsidRPr="00012B4B">
        <w:rPr>
          <w:lang w:val="en-US"/>
        </w:rPr>
        <w:tab/>
        <w:t xml:space="preserve">Scholer, A., Hugues, S., Boissonnas, A., Fetler, L. &amp; Amigorena, S. Intercellular adhesion molecule-1-dependent stable interactions between T cells and dendritic cells determine CD8+ T cell memory. </w:t>
      </w:r>
      <w:r w:rsidRPr="00012B4B">
        <w:rPr>
          <w:i/>
          <w:iCs/>
          <w:lang w:val="en-US"/>
        </w:rPr>
        <w:t>Immunity</w:t>
      </w:r>
      <w:r w:rsidRPr="00012B4B">
        <w:rPr>
          <w:lang w:val="en-US"/>
        </w:rPr>
        <w:t xml:space="preserve"> </w:t>
      </w:r>
      <w:r w:rsidRPr="00012B4B">
        <w:rPr>
          <w:b/>
          <w:bCs/>
          <w:lang w:val="en-US"/>
        </w:rPr>
        <w:t>28</w:t>
      </w:r>
      <w:r w:rsidRPr="00012B4B">
        <w:rPr>
          <w:lang w:val="en-US"/>
        </w:rPr>
        <w:t>, 258–270 (2008).</w:t>
      </w:r>
    </w:p>
    <w:p w14:paraId="4B251AE6" w14:textId="77777777" w:rsidR="00012B4B" w:rsidRPr="00012B4B" w:rsidRDefault="00012B4B" w:rsidP="00012B4B">
      <w:pPr>
        <w:pStyle w:val="Bibliography"/>
        <w:rPr>
          <w:lang w:val="en-US"/>
        </w:rPr>
      </w:pPr>
      <w:r w:rsidRPr="00012B4B">
        <w:rPr>
          <w:lang w:val="en-US"/>
        </w:rPr>
        <w:t>6.</w:t>
      </w:r>
      <w:r w:rsidRPr="00012B4B">
        <w:rPr>
          <w:lang w:val="en-US"/>
        </w:rPr>
        <w:tab/>
        <w:t xml:space="preserve">Perez, O. D. </w:t>
      </w:r>
      <w:r w:rsidRPr="00012B4B">
        <w:rPr>
          <w:i/>
          <w:iCs/>
          <w:lang w:val="en-US"/>
        </w:rPr>
        <w:t>et al.</w:t>
      </w:r>
      <w:r w:rsidRPr="00012B4B">
        <w:rPr>
          <w:lang w:val="en-US"/>
        </w:rPr>
        <w:t xml:space="preserve"> Leukocyte functional antigen 1 lowers T cell activation thresholds and signaling through cytohesin-1 and Jun-activating binding protein 1. </w:t>
      </w:r>
      <w:r w:rsidRPr="00012B4B">
        <w:rPr>
          <w:i/>
          <w:iCs/>
          <w:lang w:val="en-US"/>
        </w:rPr>
        <w:t>Nat. Immunol.</w:t>
      </w:r>
      <w:r w:rsidRPr="00012B4B">
        <w:rPr>
          <w:lang w:val="en-US"/>
        </w:rPr>
        <w:t xml:space="preserve"> </w:t>
      </w:r>
      <w:r w:rsidRPr="00012B4B">
        <w:rPr>
          <w:b/>
          <w:bCs/>
          <w:lang w:val="en-US"/>
        </w:rPr>
        <w:t>4</w:t>
      </w:r>
      <w:r w:rsidRPr="00012B4B">
        <w:rPr>
          <w:lang w:val="en-US"/>
        </w:rPr>
        <w:t>, 1083–1092 (2003).</w:t>
      </w:r>
    </w:p>
    <w:p w14:paraId="6985D0CE" w14:textId="77777777" w:rsidR="00012B4B" w:rsidRPr="00012B4B" w:rsidRDefault="00012B4B" w:rsidP="00012B4B">
      <w:pPr>
        <w:pStyle w:val="Bibliography"/>
        <w:rPr>
          <w:lang w:val="en-US"/>
        </w:rPr>
      </w:pPr>
      <w:r w:rsidRPr="00012B4B">
        <w:rPr>
          <w:lang w:val="en-US"/>
        </w:rPr>
        <w:t>7.</w:t>
      </w:r>
      <w:r w:rsidRPr="00012B4B">
        <w:rPr>
          <w:lang w:val="en-US"/>
        </w:rPr>
        <w:tab/>
        <w:t xml:space="preserve">Lee, K.-H. </w:t>
      </w:r>
      <w:r w:rsidRPr="00012B4B">
        <w:rPr>
          <w:i/>
          <w:iCs/>
          <w:lang w:val="en-US"/>
        </w:rPr>
        <w:t>et al.</w:t>
      </w:r>
      <w:r w:rsidRPr="00012B4B">
        <w:rPr>
          <w:lang w:val="en-US"/>
        </w:rPr>
        <w:t xml:space="preserve"> The immunological synapse balances T cell receptor signaling and degradation. </w:t>
      </w:r>
      <w:r w:rsidRPr="00012B4B">
        <w:rPr>
          <w:i/>
          <w:iCs/>
          <w:lang w:val="en-US"/>
        </w:rPr>
        <w:t>Science</w:t>
      </w:r>
      <w:r w:rsidRPr="00012B4B">
        <w:rPr>
          <w:lang w:val="en-US"/>
        </w:rPr>
        <w:t xml:space="preserve"> </w:t>
      </w:r>
      <w:r w:rsidRPr="00012B4B">
        <w:rPr>
          <w:b/>
          <w:bCs/>
          <w:lang w:val="en-US"/>
        </w:rPr>
        <w:t>302</w:t>
      </w:r>
      <w:r w:rsidRPr="00012B4B">
        <w:rPr>
          <w:lang w:val="en-US"/>
        </w:rPr>
        <w:t>, 1218–1222 (2003).</w:t>
      </w:r>
    </w:p>
    <w:p w14:paraId="4DA85437" w14:textId="77777777" w:rsidR="00012B4B" w:rsidRPr="00012B4B" w:rsidRDefault="00012B4B" w:rsidP="00012B4B">
      <w:pPr>
        <w:pStyle w:val="Bibliography"/>
        <w:rPr>
          <w:lang w:val="en-US"/>
        </w:rPr>
      </w:pPr>
      <w:r w:rsidRPr="00012B4B">
        <w:rPr>
          <w:lang w:val="en-US"/>
        </w:rPr>
        <w:t>8.</w:t>
      </w:r>
      <w:r w:rsidRPr="00012B4B">
        <w:rPr>
          <w:lang w:val="en-US"/>
        </w:rPr>
        <w:tab/>
        <w:t xml:space="preserve">Kaufman, Y. Lyt-2 negative and T cell growth factor independent cytotoxic T lymphocyte hybridomas. </w:t>
      </w:r>
      <w:r w:rsidRPr="00012B4B">
        <w:rPr>
          <w:i/>
          <w:iCs/>
          <w:lang w:val="en-US"/>
        </w:rPr>
        <w:t>Advances in Experimental Medicine and Biology</w:t>
      </w:r>
      <w:r w:rsidRPr="00012B4B">
        <w:rPr>
          <w:lang w:val="en-US"/>
        </w:rPr>
        <w:t xml:space="preserve"> </w:t>
      </w:r>
      <w:r w:rsidRPr="00012B4B">
        <w:rPr>
          <w:b/>
          <w:bCs/>
          <w:lang w:val="en-US"/>
        </w:rPr>
        <w:t>146</w:t>
      </w:r>
      <w:r w:rsidRPr="00012B4B">
        <w:rPr>
          <w:lang w:val="en-US"/>
        </w:rPr>
        <w:t>, 435–446 (1982).</w:t>
      </w:r>
    </w:p>
    <w:p w14:paraId="4DB3929A" w14:textId="77777777" w:rsidR="00012B4B" w:rsidRPr="00012B4B" w:rsidRDefault="00012B4B" w:rsidP="00012B4B">
      <w:pPr>
        <w:pStyle w:val="Bibliography"/>
        <w:rPr>
          <w:lang w:val="en-US"/>
        </w:rPr>
      </w:pPr>
      <w:r w:rsidRPr="00012B4B">
        <w:rPr>
          <w:lang w:val="en-US"/>
        </w:rPr>
        <w:t>9.</w:t>
      </w:r>
      <w:r w:rsidRPr="00012B4B">
        <w:rPr>
          <w:lang w:val="en-US"/>
        </w:rPr>
        <w:tab/>
        <w:t xml:space="preserve">Kishimoto, T. K., Hollander, N., Roberts, T. M., Anderson, D. C. &amp; Springer, T. A. Heterogeneous mutations in the beta subunit common to the LFA-1, Mac-1, and p150,95 glycoproteins cause leukocyte adhesion deficiency. </w:t>
      </w:r>
      <w:r w:rsidRPr="00012B4B">
        <w:rPr>
          <w:i/>
          <w:iCs/>
          <w:lang w:val="en-US"/>
        </w:rPr>
        <w:t>Cell</w:t>
      </w:r>
      <w:r w:rsidRPr="00012B4B">
        <w:rPr>
          <w:lang w:val="en-US"/>
        </w:rPr>
        <w:t xml:space="preserve"> </w:t>
      </w:r>
      <w:r w:rsidRPr="00012B4B">
        <w:rPr>
          <w:b/>
          <w:bCs/>
          <w:lang w:val="en-US"/>
        </w:rPr>
        <w:t>50</w:t>
      </w:r>
      <w:r w:rsidRPr="00012B4B">
        <w:rPr>
          <w:lang w:val="en-US"/>
        </w:rPr>
        <w:t>, 193–202 (1987).</w:t>
      </w:r>
    </w:p>
    <w:p w14:paraId="7D0C08DD" w14:textId="77777777" w:rsidR="00012B4B" w:rsidRPr="00012B4B" w:rsidRDefault="00012B4B" w:rsidP="00012B4B">
      <w:pPr>
        <w:pStyle w:val="Bibliography"/>
        <w:rPr>
          <w:lang w:val="en-US"/>
        </w:rPr>
      </w:pPr>
      <w:r w:rsidRPr="00012B4B">
        <w:rPr>
          <w:lang w:val="en-US"/>
        </w:rPr>
        <w:t>10.</w:t>
      </w:r>
      <w:r w:rsidRPr="00012B4B">
        <w:rPr>
          <w:lang w:val="en-US"/>
        </w:rPr>
        <w:tab/>
        <w:t xml:space="preserve">Schwab, N. </w:t>
      </w:r>
      <w:r w:rsidRPr="00012B4B">
        <w:rPr>
          <w:i/>
          <w:iCs/>
          <w:lang w:val="en-US"/>
        </w:rPr>
        <w:t>et al.</w:t>
      </w:r>
      <w:r w:rsidRPr="00012B4B">
        <w:rPr>
          <w:lang w:val="en-US"/>
        </w:rPr>
        <w:t xml:space="preserve"> Fatal PML associated with efalizumab therapy: insights into integrin αLβ2 in JC virus control. </w:t>
      </w:r>
      <w:r w:rsidRPr="00012B4B">
        <w:rPr>
          <w:i/>
          <w:iCs/>
          <w:lang w:val="en-US"/>
        </w:rPr>
        <w:t>Neurology</w:t>
      </w:r>
      <w:r w:rsidRPr="00012B4B">
        <w:rPr>
          <w:lang w:val="en-US"/>
        </w:rPr>
        <w:t xml:space="preserve"> </w:t>
      </w:r>
      <w:r w:rsidRPr="00012B4B">
        <w:rPr>
          <w:b/>
          <w:bCs/>
          <w:lang w:val="en-US"/>
        </w:rPr>
        <w:t>78</w:t>
      </w:r>
      <w:r w:rsidRPr="00012B4B">
        <w:rPr>
          <w:lang w:val="en-US"/>
        </w:rPr>
        <w:t>, 458–467; discussion 465 (2012).</w:t>
      </w:r>
    </w:p>
    <w:p w14:paraId="51BD0E34" w14:textId="77777777" w:rsidR="00012B4B" w:rsidRPr="00012B4B" w:rsidRDefault="00012B4B" w:rsidP="00012B4B">
      <w:pPr>
        <w:pStyle w:val="Bibliography"/>
        <w:rPr>
          <w:lang w:val="en-US"/>
        </w:rPr>
      </w:pPr>
      <w:r w:rsidRPr="00012B4B">
        <w:rPr>
          <w:lang w:val="en-US"/>
        </w:rPr>
        <w:t>11.</w:t>
      </w:r>
      <w:r w:rsidRPr="00012B4B">
        <w:rPr>
          <w:lang w:val="en-US"/>
        </w:rPr>
        <w:tab/>
        <w:t xml:space="preserve">Berlin-Rufenach, C. </w:t>
      </w:r>
      <w:r w:rsidRPr="00012B4B">
        <w:rPr>
          <w:i/>
          <w:iCs/>
          <w:lang w:val="en-US"/>
        </w:rPr>
        <w:t>et al.</w:t>
      </w:r>
      <w:r w:rsidRPr="00012B4B">
        <w:rPr>
          <w:lang w:val="en-US"/>
        </w:rPr>
        <w:t xml:space="preserve"> Lymphocyte migration in lymphocyte function-associated antigen (LFA)-1- deficient mice. </w:t>
      </w:r>
      <w:r w:rsidRPr="00012B4B">
        <w:rPr>
          <w:i/>
          <w:iCs/>
          <w:lang w:val="en-US"/>
        </w:rPr>
        <w:t>J. Exp. Med.</w:t>
      </w:r>
      <w:r w:rsidRPr="00012B4B">
        <w:rPr>
          <w:lang w:val="en-US"/>
        </w:rPr>
        <w:t xml:space="preserve"> </w:t>
      </w:r>
      <w:r w:rsidRPr="00012B4B">
        <w:rPr>
          <w:b/>
          <w:bCs/>
          <w:lang w:val="en-US"/>
        </w:rPr>
        <w:t>189</w:t>
      </w:r>
      <w:r w:rsidRPr="00012B4B">
        <w:rPr>
          <w:lang w:val="en-US"/>
        </w:rPr>
        <w:t>, 1467–1478 (1999).</w:t>
      </w:r>
    </w:p>
    <w:p w14:paraId="5CD6CDE9" w14:textId="77777777" w:rsidR="00012B4B" w:rsidRPr="00012B4B" w:rsidRDefault="00012B4B" w:rsidP="00012B4B">
      <w:pPr>
        <w:pStyle w:val="Bibliography"/>
        <w:rPr>
          <w:lang w:val="en-US"/>
        </w:rPr>
      </w:pPr>
      <w:r w:rsidRPr="00012B4B">
        <w:rPr>
          <w:lang w:val="en-US"/>
        </w:rPr>
        <w:lastRenderedPageBreak/>
        <w:t>12.</w:t>
      </w:r>
      <w:r w:rsidRPr="00012B4B">
        <w:rPr>
          <w:lang w:val="en-US"/>
        </w:rPr>
        <w:tab/>
        <w:t xml:space="preserve">Wohler, J., Bullard, D., Schoeb, T. &amp; Barnum, S. LFA-1 is critical for regulatory T cell homeostasis and function. </w:t>
      </w:r>
      <w:r w:rsidRPr="00012B4B">
        <w:rPr>
          <w:i/>
          <w:iCs/>
          <w:lang w:val="en-US"/>
        </w:rPr>
        <w:t>Mol. Immunol.</w:t>
      </w:r>
      <w:r w:rsidRPr="00012B4B">
        <w:rPr>
          <w:lang w:val="en-US"/>
        </w:rPr>
        <w:t xml:space="preserve"> </w:t>
      </w:r>
      <w:r w:rsidRPr="00012B4B">
        <w:rPr>
          <w:b/>
          <w:bCs/>
          <w:lang w:val="en-US"/>
        </w:rPr>
        <w:t>46</w:t>
      </w:r>
      <w:r w:rsidRPr="00012B4B">
        <w:rPr>
          <w:lang w:val="en-US"/>
        </w:rPr>
        <w:t>, 2424–2428 (2009).</w:t>
      </w:r>
    </w:p>
    <w:p w14:paraId="37A64880" w14:textId="77777777" w:rsidR="00012B4B" w:rsidRPr="00012B4B" w:rsidRDefault="00012B4B" w:rsidP="00012B4B">
      <w:pPr>
        <w:pStyle w:val="Bibliography"/>
        <w:rPr>
          <w:lang w:val="en-US"/>
        </w:rPr>
      </w:pPr>
      <w:r w:rsidRPr="00012B4B">
        <w:rPr>
          <w:lang w:val="en-US"/>
        </w:rPr>
        <w:t>13.</w:t>
      </w:r>
      <w:r w:rsidRPr="00012B4B">
        <w:rPr>
          <w:lang w:val="en-US"/>
        </w:rPr>
        <w:tab/>
        <w:t xml:space="preserve">Schmits, R. </w:t>
      </w:r>
      <w:r w:rsidRPr="00012B4B">
        <w:rPr>
          <w:i/>
          <w:iCs/>
          <w:lang w:val="en-US"/>
        </w:rPr>
        <w:t>et al.</w:t>
      </w:r>
      <w:r w:rsidRPr="00012B4B">
        <w:rPr>
          <w:lang w:val="en-US"/>
        </w:rPr>
        <w:t xml:space="preserve"> LFA-1-deficient mice show normal CTL responses to virus but fail to reject immunogenic tumor. </w:t>
      </w:r>
      <w:r w:rsidRPr="00012B4B">
        <w:rPr>
          <w:i/>
          <w:iCs/>
          <w:lang w:val="en-US"/>
        </w:rPr>
        <w:t>J. Exp. Med.</w:t>
      </w:r>
      <w:r w:rsidRPr="00012B4B">
        <w:rPr>
          <w:lang w:val="en-US"/>
        </w:rPr>
        <w:t xml:space="preserve"> </w:t>
      </w:r>
      <w:r w:rsidRPr="00012B4B">
        <w:rPr>
          <w:b/>
          <w:bCs/>
          <w:lang w:val="en-US"/>
        </w:rPr>
        <w:t>183</w:t>
      </w:r>
      <w:r w:rsidRPr="00012B4B">
        <w:rPr>
          <w:lang w:val="en-US"/>
        </w:rPr>
        <w:t>, 1415–1426 (1996).</w:t>
      </w:r>
    </w:p>
    <w:p w14:paraId="01381CB6" w14:textId="77777777" w:rsidR="00012B4B" w:rsidRPr="00012B4B" w:rsidRDefault="00012B4B" w:rsidP="00012B4B">
      <w:pPr>
        <w:pStyle w:val="Bibliography"/>
        <w:rPr>
          <w:lang w:val="en-US"/>
        </w:rPr>
      </w:pPr>
      <w:r w:rsidRPr="00012B4B">
        <w:rPr>
          <w:lang w:val="en-US"/>
        </w:rPr>
        <w:t>14.</w:t>
      </w:r>
      <w:r w:rsidRPr="00012B4B">
        <w:rPr>
          <w:lang w:val="en-US"/>
        </w:rPr>
        <w:tab/>
        <w:t xml:space="preserve">Ghosh, S., Chackerian, A. A., Parker, C. M., Ballantyne, C. M. &amp; Behar, S. M. The LFA-1 adhesion molecule is required for protective immunity during pulmonary Mycobacterium tuberculosis infection. </w:t>
      </w:r>
      <w:r w:rsidRPr="00012B4B">
        <w:rPr>
          <w:i/>
          <w:iCs/>
          <w:lang w:val="en-US"/>
        </w:rPr>
        <w:t>J. Immunol.</w:t>
      </w:r>
      <w:r w:rsidRPr="00012B4B">
        <w:rPr>
          <w:lang w:val="en-US"/>
        </w:rPr>
        <w:t xml:space="preserve"> </w:t>
      </w:r>
      <w:r w:rsidRPr="00012B4B">
        <w:rPr>
          <w:b/>
          <w:bCs/>
          <w:lang w:val="en-US"/>
        </w:rPr>
        <w:t>176</w:t>
      </w:r>
      <w:r w:rsidRPr="00012B4B">
        <w:rPr>
          <w:lang w:val="en-US"/>
        </w:rPr>
        <w:t>, 4914–4922 (2006).</w:t>
      </w:r>
    </w:p>
    <w:p w14:paraId="60B22D29" w14:textId="77777777" w:rsidR="00012B4B" w:rsidRPr="00012B4B" w:rsidRDefault="00012B4B" w:rsidP="00012B4B">
      <w:pPr>
        <w:pStyle w:val="Bibliography"/>
        <w:rPr>
          <w:lang w:val="en-US"/>
        </w:rPr>
      </w:pPr>
      <w:r w:rsidRPr="00012B4B">
        <w:rPr>
          <w:lang w:val="en-US"/>
        </w:rPr>
        <w:t>15.</w:t>
      </w:r>
      <w:r w:rsidRPr="00012B4B">
        <w:rPr>
          <w:lang w:val="en-US"/>
        </w:rPr>
        <w:tab/>
        <w:t xml:space="preserve">Prince, J. E. </w:t>
      </w:r>
      <w:r w:rsidRPr="00012B4B">
        <w:rPr>
          <w:i/>
          <w:iCs/>
          <w:lang w:val="en-US"/>
        </w:rPr>
        <w:t>et al.</w:t>
      </w:r>
      <w:r w:rsidRPr="00012B4B">
        <w:rPr>
          <w:lang w:val="en-US"/>
        </w:rPr>
        <w:t xml:space="preserve"> The differential roles of LFA-1 and Mac-1 in host defense against systemic infection with Streptococcus pneumoniae. </w:t>
      </w:r>
      <w:r w:rsidRPr="00012B4B">
        <w:rPr>
          <w:i/>
          <w:iCs/>
          <w:lang w:val="en-US"/>
        </w:rPr>
        <w:t>J. Immunol.</w:t>
      </w:r>
      <w:r w:rsidRPr="00012B4B">
        <w:rPr>
          <w:lang w:val="en-US"/>
        </w:rPr>
        <w:t xml:space="preserve"> </w:t>
      </w:r>
      <w:r w:rsidRPr="00012B4B">
        <w:rPr>
          <w:b/>
          <w:bCs/>
          <w:lang w:val="en-US"/>
        </w:rPr>
        <w:t>166</w:t>
      </w:r>
      <w:r w:rsidRPr="00012B4B">
        <w:rPr>
          <w:lang w:val="en-US"/>
        </w:rPr>
        <w:t>, 7362–7369 (2001).</w:t>
      </w:r>
    </w:p>
    <w:p w14:paraId="2E7B5CD5" w14:textId="77777777" w:rsidR="00012B4B" w:rsidRPr="00012B4B" w:rsidRDefault="00012B4B" w:rsidP="00012B4B">
      <w:pPr>
        <w:pStyle w:val="Bibliography"/>
        <w:rPr>
          <w:lang w:val="en-US"/>
        </w:rPr>
      </w:pPr>
      <w:r w:rsidRPr="00012B4B">
        <w:rPr>
          <w:lang w:val="en-US"/>
        </w:rPr>
        <w:t>16.</w:t>
      </w:r>
      <w:r w:rsidRPr="00012B4B">
        <w:rPr>
          <w:lang w:val="en-US"/>
        </w:rPr>
        <w:tab/>
        <w:t xml:space="preserve">Miyamoto, M. </w:t>
      </w:r>
      <w:r w:rsidRPr="00012B4B">
        <w:rPr>
          <w:i/>
          <w:iCs/>
          <w:lang w:val="en-US"/>
        </w:rPr>
        <w:t>et al.</w:t>
      </w:r>
      <w:r w:rsidRPr="00012B4B">
        <w:rPr>
          <w:lang w:val="en-US"/>
        </w:rPr>
        <w:t xml:space="preserve"> Neutrophilia in LFA-1-deficient mice confers resistance to listeriosis: possible contribution of granulocyte-colony-stimulating factor and IL-17. </w:t>
      </w:r>
      <w:r w:rsidRPr="00012B4B">
        <w:rPr>
          <w:i/>
          <w:iCs/>
          <w:lang w:val="en-US"/>
        </w:rPr>
        <w:t>J. Immunol.</w:t>
      </w:r>
      <w:r w:rsidRPr="00012B4B">
        <w:rPr>
          <w:lang w:val="en-US"/>
        </w:rPr>
        <w:t xml:space="preserve"> </w:t>
      </w:r>
      <w:r w:rsidRPr="00012B4B">
        <w:rPr>
          <w:b/>
          <w:bCs/>
          <w:lang w:val="en-US"/>
        </w:rPr>
        <w:t>170</w:t>
      </w:r>
      <w:r w:rsidRPr="00012B4B">
        <w:rPr>
          <w:lang w:val="en-US"/>
        </w:rPr>
        <w:t>, 5228–5234 (2003).</w:t>
      </w:r>
    </w:p>
    <w:p w14:paraId="4DA51BA3" w14:textId="77777777" w:rsidR="00012B4B" w:rsidRPr="00012B4B" w:rsidRDefault="00012B4B" w:rsidP="00012B4B">
      <w:pPr>
        <w:pStyle w:val="Bibliography"/>
        <w:rPr>
          <w:lang w:val="en-US"/>
        </w:rPr>
      </w:pPr>
      <w:r w:rsidRPr="00012B4B">
        <w:rPr>
          <w:lang w:val="en-US"/>
        </w:rPr>
        <w:t>17.</w:t>
      </w:r>
      <w:r w:rsidRPr="00012B4B">
        <w:rPr>
          <w:lang w:val="en-US"/>
        </w:rPr>
        <w:tab/>
        <w:t xml:space="preserve">Ahmed, R., Salmi, A., Butler, L. D., Chiller, J. M. &amp; Oldstone, M. B. Selection of genetic variants of lymphocytic choriomeningitis virus in spleens of persistently infected mice. Role in suppression of cytotoxic T lymphocyte response and viral persistence. </w:t>
      </w:r>
      <w:r w:rsidRPr="00012B4B">
        <w:rPr>
          <w:i/>
          <w:iCs/>
          <w:lang w:val="en-US"/>
        </w:rPr>
        <w:t>J Exp Med</w:t>
      </w:r>
      <w:r w:rsidRPr="00012B4B">
        <w:rPr>
          <w:lang w:val="en-US"/>
        </w:rPr>
        <w:t xml:space="preserve"> </w:t>
      </w:r>
      <w:r w:rsidRPr="00012B4B">
        <w:rPr>
          <w:b/>
          <w:bCs/>
          <w:lang w:val="en-US"/>
        </w:rPr>
        <w:t>160</w:t>
      </w:r>
      <w:r w:rsidRPr="00012B4B">
        <w:rPr>
          <w:lang w:val="en-US"/>
        </w:rPr>
        <w:t>, 521–40 (1984).</w:t>
      </w:r>
    </w:p>
    <w:p w14:paraId="52222843" w14:textId="77777777" w:rsidR="00012B4B" w:rsidRPr="00012B4B" w:rsidRDefault="00012B4B" w:rsidP="00012B4B">
      <w:pPr>
        <w:pStyle w:val="Bibliography"/>
        <w:rPr>
          <w:lang w:val="en-US"/>
        </w:rPr>
      </w:pPr>
      <w:r w:rsidRPr="00012B4B">
        <w:rPr>
          <w:lang w:val="en-US"/>
        </w:rPr>
        <w:t>18.</w:t>
      </w:r>
      <w:r w:rsidRPr="00012B4B">
        <w:rPr>
          <w:lang w:val="en-US"/>
        </w:rPr>
        <w:tab/>
        <w:t xml:space="preserve">Salvato, M., Borrow, P., Shimomaye, E. &amp; Oldstone, M. B. Molecular basis of viral persistence: a single amino acid change in the glycoprotein of lymphocytic choriomeningitis virus is associated with suppression of the antiviral cytotoxic T-lymphocyte response and establishment of persistence. </w:t>
      </w:r>
      <w:r w:rsidRPr="00012B4B">
        <w:rPr>
          <w:i/>
          <w:iCs/>
          <w:lang w:val="en-US"/>
        </w:rPr>
        <w:t>J. Virol.</w:t>
      </w:r>
      <w:r w:rsidRPr="00012B4B">
        <w:rPr>
          <w:lang w:val="en-US"/>
        </w:rPr>
        <w:t xml:space="preserve"> </w:t>
      </w:r>
      <w:r w:rsidRPr="00012B4B">
        <w:rPr>
          <w:b/>
          <w:bCs/>
          <w:lang w:val="en-US"/>
        </w:rPr>
        <w:t>65</w:t>
      </w:r>
      <w:r w:rsidRPr="00012B4B">
        <w:rPr>
          <w:lang w:val="en-US"/>
        </w:rPr>
        <w:t>, 1863–1869 (1991).</w:t>
      </w:r>
    </w:p>
    <w:p w14:paraId="036F6956" w14:textId="77777777" w:rsidR="00012B4B" w:rsidRPr="00012B4B" w:rsidRDefault="00012B4B" w:rsidP="00012B4B">
      <w:pPr>
        <w:pStyle w:val="Bibliography"/>
        <w:rPr>
          <w:lang w:val="en-US"/>
        </w:rPr>
      </w:pPr>
      <w:r w:rsidRPr="00012B4B">
        <w:rPr>
          <w:lang w:val="en-US"/>
        </w:rPr>
        <w:t>19.</w:t>
      </w:r>
      <w:r w:rsidRPr="00012B4B">
        <w:rPr>
          <w:lang w:val="en-US"/>
        </w:rPr>
        <w:tab/>
        <w:t xml:space="preserve">Matloubian, M., Kolhekar, S. R., Somasundaram, T. &amp; Ahmed, R. Molecular determinants of macrophage tropism and viral persistence: importance of single amino acid changes in the polymerase and glycoprotein of lymphocytic choriomeningitis virus. </w:t>
      </w:r>
      <w:r w:rsidRPr="00012B4B">
        <w:rPr>
          <w:i/>
          <w:iCs/>
          <w:lang w:val="en-US"/>
        </w:rPr>
        <w:t>J. Virol.</w:t>
      </w:r>
      <w:r w:rsidRPr="00012B4B">
        <w:rPr>
          <w:lang w:val="en-US"/>
        </w:rPr>
        <w:t xml:space="preserve"> </w:t>
      </w:r>
      <w:r w:rsidRPr="00012B4B">
        <w:rPr>
          <w:b/>
          <w:bCs/>
          <w:lang w:val="en-US"/>
        </w:rPr>
        <w:t>67</w:t>
      </w:r>
      <w:r w:rsidRPr="00012B4B">
        <w:rPr>
          <w:lang w:val="en-US"/>
        </w:rPr>
        <w:t>, 7340–7349 (1993).</w:t>
      </w:r>
    </w:p>
    <w:p w14:paraId="6428B74C" w14:textId="77777777" w:rsidR="00012B4B" w:rsidRPr="00012B4B" w:rsidRDefault="00012B4B" w:rsidP="00012B4B">
      <w:pPr>
        <w:pStyle w:val="Bibliography"/>
        <w:rPr>
          <w:lang w:val="en-US"/>
        </w:rPr>
      </w:pPr>
      <w:r w:rsidRPr="00012B4B">
        <w:rPr>
          <w:lang w:val="en-US"/>
        </w:rPr>
        <w:t>20.</w:t>
      </w:r>
      <w:r w:rsidRPr="00012B4B">
        <w:rPr>
          <w:lang w:val="en-US"/>
        </w:rPr>
        <w:tab/>
        <w:t xml:space="preserve">Wherry, E. J., Blattman, J. N., Murali-Krishna, K., van der Most, R. &amp; Ahmed, R. Viral persistence alters CD8 T-cell immunodominance and tissue distribution and results in distinct stages of functional impairment. </w:t>
      </w:r>
      <w:r w:rsidRPr="00012B4B">
        <w:rPr>
          <w:i/>
          <w:iCs/>
          <w:lang w:val="en-US"/>
        </w:rPr>
        <w:t>J. Virol.</w:t>
      </w:r>
      <w:r w:rsidRPr="00012B4B">
        <w:rPr>
          <w:lang w:val="en-US"/>
        </w:rPr>
        <w:t xml:space="preserve"> </w:t>
      </w:r>
      <w:r w:rsidRPr="00012B4B">
        <w:rPr>
          <w:b/>
          <w:bCs/>
          <w:lang w:val="en-US"/>
        </w:rPr>
        <w:t>77</w:t>
      </w:r>
      <w:r w:rsidRPr="00012B4B">
        <w:rPr>
          <w:lang w:val="en-US"/>
        </w:rPr>
        <w:t>, 4911–4927 (2003).</w:t>
      </w:r>
    </w:p>
    <w:p w14:paraId="090CBB26" w14:textId="77777777" w:rsidR="00012B4B" w:rsidRPr="00012B4B" w:rsidRDefault="00012B4B" w:rsidP="00012B4B">
      <w:pPr>
        <w:pStyle w:val="Bibliography"/>
        <w:rPr>
          <w:lang w:val="en-US"/>
        </w:rPr>
      </w:pPr>
      <w:r w:rsidRPr="00012B4B">
        <w:rPr>
          <w:lang w:val="en-US"/>
        </w:rPr>
        <w:lastRenderedPageBreak/>
        <w:t>21.</w:t>
      </w:r>
      <w:r w:rsidRPr="00012B4B">
        <w:rPr>
          <w:lang w:val="en-US"/>
        </w:rPr>
        <w:tab/>
        <w:t xml:space="preserve">Quddus, J., Kaplan, A. &amp; Richardson, B. C. Anti-CD11a prevents deletion of self-reactive T cells in neonatal C57BR mice. </w:t>
      </w:r>
      <w:r w:rsidRPr="00012B4B">
        <w:rPr>
          <w:i/>
          <w:iCs/>
          <w:lang w:val="en-US"/>
        </w:rPr>
        <w:t>Immunology</w:t>
      </w:r>
      <w:r w:rsidRPr="00012B4B">
        <w:rPr>
          <w:lang w:val="en-US"/>
        </w:rPr>
        <w:t xml:space="preserve"> </w:t>
      </w:r>
      <w:r w:rsidRPr="00012B4B">
        <w:rPr>
          <w:b/>
          <w:bCs/>
          <w:lang w:val="en-US"/>
        </w:rPr>
        <w:t>82</w:t>
      </w:r>
      <w:r w:rsidRPr="00012B4B">
        <w:rPr>
          <w:lang w:val="en-US"/>
        </w:rPr>
        <w:t>, 301–305 (1994).</w:t>
      </w:r>
    </w:p>
    <w:p w14:paraId="487460CB" w14:textId="77777777" w:rsidR="00012B4B" w:rsidRPr="00012B4B" w:rsidRDefault="00012B4B" w:rsidP="00012B4B">
      <w:pPr>
        <w:pStyle w:val="Bibliography"/>
        <w:rPr>
          <w:lang w:val="en-US"/>
        </w:rPr>
      </w:pPr>
      <w:r w:rsidRPr="00012B4B">
        <w:rPr>
          <w:lang w:val="en-US"/>
        </w:rPr>
        <w:t>22.</w:t>
      </w:r>
      <w:r w:rsidRPr="00012B4B">
        <w:rPr>
          <w:lang w:val="en-US"/>
        </w:rPr>
        <w:tab/>
        <w:t xml:space="preserve">Revilla, C., González, A. L., Conde, C., López-Hoyos, M. &amp; Merino, J. Treatment with anti-LFA-1 alpha monoclonal antibody selectively interferes with the maturation of CD4- 8+ thymocytes. </w:t>
      </w:r>
      <w:r w:rsidRPr="00012B4B">
        <w:rPr>
          <w:i/>
          <w:iCs/>
          <w:lang w:val="en-US"/>
        </w:rPr>
        <w:t>Immunology</w:t>
      </w:r>
      <w:r w:rsidRPr="00012B4B">
        <w:rPr>
          <w:lang w:val="en-US"/>
        </w:rPr>
        <w:t xml:space="preserve"> </w:t>
      </w:r>
      <w:r w:rsidRPr="00012B4B">
        <w:rPr>
          <w:b/>
          <w:bCs/>
          <w:lang w:val="en-US"/>
        </w:rPr>
        <w:t>90</w:t>
      </w:r>
      <w:r w:rsidRPr="00012B4B">
        <w:rPr>
          <w:lang w:val="en-US"/>
        </w:rPr>
        <w:t>, 550–556 (1997).</w:t>
      </w:r>
    </w:p>
    <w:p w14:paraId="33B22A3B" w14:textId="77777777" w:rsidR="00012B4B" w:rsidRPr="00012B4B" w:rsidRDefault="00012B4B" w:rsidP="00012B4B">
      <w:pPr>
        <w:pStyle w:val="Bibliography"/>
        <w:rPr>
          <w:lang w:val="en-US"/>
        </w:rPr>
      </w:pPr>
      <w:r w:rsidRPr="00012B4B">
        <w:rPr>
          <w:lang w:val="en-US"/>
        </w:rPr>
        <w:t>23.</w:t>
      </w:r>
      <w:r w:rsidRPr="00012B4B">
        <w:rPr>
          <w:lang w:val="en-US"/>
        </w:rPr>
        <w:tab/>
        <w:t xml:space="preserve">Peixoto, A. </w:t>
      </w:r>
      <w:r w:rsidRPr="00012B4B">
        <w:rPr>
          <w:i/>
          <w:iCs/>
          <w:lang w:val="en-US"/>
        </w:rPr>
        <w:t>et al.</w:t>
      </w:r>
      <w:r w:rsidRPr="00012B4B">
        <w:rPr>
          <w:lang w:val="en-US"/>
        </w:rPr>
        <w:t xml:space="preserve"> CD8 single-cell gene coexpression reveals three different effector types present at distinct phases of the immune response. </w:t>
      </w:r>
      <w:r w:rsidRPr="00012B4B">
        <w:rPr>
          <w:i/>
          <w:iCs/>
          <w:lang w:val="en-US"/>
        </w:rPr>
        <w:t>J. Exp. Med.</w:t>
      </w:r>
      <w:r w:rsidRPr="00012B4B">
        <w:rPr>
          <w:lang w:val="en-US"/>
        </w:rPr>
        <w:t xml:space="preserve"> </w:t>
      </w:r>
      <w:r w:rsidRPr="00012B4B">
        <w:rPr>
          <w:b/>
          <w:bCs/>
          <w:lang w:val="en-US"/>
        </w:rPr>
        <w:t>204</w:t>
      </w:r>
      <w:r w:rsidRPr="00012B4B">
        <w:rPr>
          <w:lang w:val="en-US"/>
        </w:rPr>
        <w:t>, 1193–1205 (2007).</w:t>
      </w:r>
    </w:p>
    <w:p w14:paraId="550AF525" w14:textId="77777777" w:rsidR="00012B4B" w:rsidRPr="00012B4B" w:rsidRDefault="00012B4B" w:rsidP="00012B4B">
      <w:pPr>
        <w:pStyle w:val="Bibliography"/>
        <w:rPr>
          <w:lang w:val="en-US"/>
        </w:rPr>
      </w:pPr>
      <w:r w:rsidRPr="00012B4B">
        <w:rPr>
          <w:lang w:val="en-US"/>
        </w:rPr>
        <w:t>24.</w:t>
      </w:r>
      <w:r w:rsidRPr="00012B4B">
        <w:rPr>
          <w:lang w:val="en-US"/>
        </w:rPr>
        <w:tab/>
        <w:t xml:space="preserve">Wong, P. &amp; Pamer, E. G. Feedback regulation of pathogen-specific T cell priming. </w:t>
      </w:r>
      <w:r w:rsidRPr="00012B4B">
        <w:rPr>
          <w:i/>
          <w:iCs/>
          <w:lang w:val="en-US"/>
        </w:rPr>
        <w:t>Immunity</w:t>
      </w:r>
      <w:r w:rsidRPr="00012B4B">
        <w:rPr>
          <w:lang w:val="en-US"/>
        </w:rPr>
        <w:t xml:space="preserve"> </w:t>
      </w:r>
      <w:r w:rsidRPr="00012B4B">
        <w:rPr>
          <w:b/>
          <w:bCs/>
          <w:lang w:val="en-US"/>
        </w:rPr>
        <w:t>18</w:t>
      </w:r>
      <w:r w:rsidRPr="00012B4B">
        <w:rPr>
          <w:lang w:val="en-US"/>
        </w:rPr>
        <w:t>, 499–511 (2003).</w:t>
      </w:r>
    </w:p>
    <w:p w14:paraId="206B72DF" w14:textId="77777777" w:rsidR="00012B4B" w:rsidRPr="00012B4B" w:rsidRDefault="00012B4B" w:rsidP="00012B4B">
      <w:pPr>
        <w:pStyle w:val="Bibliography"/>
        <w:rPr>
          <w:lang w:val="en-US"/>
        </w:rPr>
      </w:pPr>
      <w:r w:rsidRPr="00012B4B">
        <w:rPr>
          <w:lang w:val="en-US"/>
        </w:rPr>
        <w:t>25.</w:t>
      </w:r>
      <w:r w:rsidRPr="00012B4B">
        <w:rPr>
          <w:lang w:val="en-US"/>
        </w:rPr>
        <w:tab/>
        <w:t xml:space="preserve">Wherry, E. J. &amp; Kurachi, M. Molecular and cellular insights into T cell exhaustion. </w:t>
      </w:r>
      <w:r w:rsidRPr="00012B4B">
        <w:rPr>
          <w:i/>
          <w:iCs/>
          <w:lang w:val="en-US"/>
        </w:rPr>
        <w:t>Nat. Rev. Immunol.</w:t>
      </w:r>
      <w:r w:rsidRPr="00012B4B">
        <w:rPr>
          <w:lang w:val="en-US"/>
        </w:rPr>
        <w:t xml:space="preserve"> </w:t>
      </w:r>
      <w:r w:rsidRPr="00012B4B">
        <w:rPr>
          <w:b/>
          <w:bCs/>
          <w:lang w:val="en-US"/>
        </w:rPr>
        <w:t>15</w:t>
      </w:r>
      <w:r w:rsidRPr="00012B4B">
        <w:rPr>
          <w:lang w:val="en-US"/>
        </w:rPr>
        <w:t>, 486–499 (2015).</w:t>
      </w:r>
    </w:p>
    <w:p w14:paraId="5522941A" w14:textId="77777777" w:rsidR="00012B4B" w:rsidRPr="00012B4B" w:rsidRDefault="00012B4B" w:rsidP="00012B4B">
      <w:pPr>
        <w:pStyle w:val="Bibliography"/>
        <w:rPr>
          <w:lang w:val="en-US"/>
        </w:rPr>
      </w:pPr>
      <w:r w:rsidRPr="00012B4B">
        <w:rPr>
          <w:lang w:val="en-US"/>
        </w:rPr>
        <w:t>26.</w:t>
      </w:r>
      <w:r w:rsidRPr="00012B4B">
        <w:rPr>
          <w:lang w:val="en-US"/>
        </w:rPr>
        <w:tab/>
        <w:t xml:space="preserve">Joshi, N. S. </w:t>
      </w:r>
      <w:r w:rsidRPr="00012B4B">
        <w:rPr>
          <w:i/>
          <w:iCs/>
          <w:lang w:val="en-US"/>
        </w:rPr>
        <w:t>et al.</w:t>
      </w:r>
      <w:r w:rsidRPr="00012B4B">
        <w:rPr>
          <w:lang w:val="en-US"/>
        </w:rPr>
        <w:t xml:space="preserve"> Inflammation directs memory precursor and short-lived effector CD8(+) T cell fates via the graded expression of T-bet transcription factor. </w:t>
      </w:r>
      <w:r w:rsidRPr="00012B4B">
        <w:rPr>
          <w:i/>
          <w:iCs/>
          <w:lang w:val="en-US"/>
        </w:rPr>
        <w:t>Immunity</w:t>
      </w:r>
      <w:r w:rsidRPr="00012B4B">
        <w:rPr>
          <w:lang w:val="en-US"/>
        </w:rPr>
        <w:t xml:space="preserve"> </w:t>
      </w:r>
      <w:r w:rsidRPr="00012B4B">
        <w:rPr>
          <w:b/>
          <w:bCs/>
          <w:lang w:val="en-US"/>
        </w:rPr>
        <w:t>27</w:t>
      </w:r>
      <w:r w:rsidRPr="00012B4B">
        <w:rPr>
          <w:lang w:val="en-US"/>
        </w:rPr>
        <w:t>, 281–95 (2007).</w:t>
      </w:r>
    </w:p>
    <w:p w14:paraId="2A98810A" w14:textId="77777777" w:rsidR="00012B4B" w:rsidRPr="00012B4B" w:rsidRDefault="00012B4B" w:rsidP="00012B4B">
      <w:pPr>
        <w:pStyle w:val="Bibliography"/>
        <w:rPr>
          <w:lang w:val="en-US"/>
        </w:rPr>
      </w:pPr>
      <w:r w:rsidRPr="00012B4B">
        <w:rPr>
          <w:lang w:val="en-US"/>
        </w:rPr>
        <w:t>27.</w:t>
      </w:r>
      <w:r w:rsidRPr="00012B4B">
        <w:rPr>
          <w:lang w:val="en-US"/>
        </w:rPr>
        <w:tab/>
        <w:t xml:space="preserve">Pircher, H., Bürki, K., Lang, R., Hengartner, H. &amp; Zinkernagel, R. M. Tolerance induction in double specific T-cell receptor transgenic mice varies with antigen. </w:t>
      </w:r>
      <w:r w:rsidRPr="00012B4B">
        <w:rPr>
          <w:i/>
          <w:iCs/>
          <w:lang w:val="en-US"/>
        </w:rPr>
        <w:t>Nature</w:t>
      </w:r>
      <w:r w:rsidRPr="00012B4B">
        <w:rPr>
          <w:lang w:val="en-US"/>
        </w:rPr>
        <w:t xml:space="preserve"> </w:t>
      </w:r>
      <w:r w:rsidRPr="00012B4B">
        <w:rPr>
          <w:b/>
          <w:bCs/>
          <w:lang w:val="en-US"/>
        </w:rPr>
        <w:t>342</w:t>
      </w:r>
      <w:r w:rsidRPr="00012B4B">
        <w:rPr>
          <w:lang w:val="en-US"/>
        </w:rPr>
        <w:t>, 559–561 (1989).</w:t>
      </w:r>
    </w:p>
    <w:p w14:paraId="379B1D12" w14:textId="77777777" w:rsidR="00012B4B" w:rsidRPr="00012B4B" w:rsidRDefault="00012B4B" w:rsidP="00012B4B">
      <w:pPr>
        <w:pStyle w:val="Bibliography"/>
        <w:rPr>
          <w:lang w:val="en-US"/>
        </w:rPr>
      </w:pPr>
      <w:r w:rsidRPr="00012B4B">
        <w:rPr>
          <w:lang w:val="en-US"/>
        </w:rPr>
        <w:t>28.</w:t>
      </w:r>
      <w:r w:rsidRPr="00012B4B">
        <w:rPr>
          <w:lang w:val="en-US"/>
        </w:rPr>
        <w:tab/>
        <w:t xml:space="preserve">Hamann, A. </w:t>
      </w:r>
      <w:r w:rsidRPr="00012B4B">
        <w:rPr>
          <w:i/>
          <w:iCs/>
          <w:lang w:val="en-US"/>
        </w:rPr>
        <w:t>et al.</w:t>
      </w:r>
      <w:r w:rsidRPr="00012B4B">
        <w:rPr>
          <w:lang w:val="en-US"/>
        </w:rPr>
        <w:t xml:space="preserve"> Evidence for an accessory role of LFA-1 in lymphocyte-high endothelium interaction during homing. </w:t>
      </w:r>
      <w:r w:rsidRPr="00012B4B">
        <w:rPr>
          <w:i/>
          <w:iCs/>
          <w:lang w:val="en-US"/>
        </w:rPr>
        <w:t>J. Immunol.</w:t>
      </w:r>
      <w:r w:rsidRPr="00012B4B">
        <w:rPr>
          <w:lang w:val="en-US"/>
        </w:rPr>
        <w:t xml:space="preserve"> </w:t>
      </w:r>
      <w:r w:rsidRPr="00012B4B">
        <w:rPr>
          <w:b/>
          <w:bCs/>
          <w:lang w:val="en-US"/>
        </w:rPr>
        <w:t>140</w:t>
      </w:r>
      <w:r w:rsidRPr="00012B4B">
        <w:rPr>
          <w:lang w:val="en-US"/>
        </w:rPr>
        <w:t>, 693–699 (1988).</w:t>
      </w:r>
    </w:p>
    <w:p w14:paraId="54B71D78" w14:textId="77777777" w:rsidR="00012B4B" w:rsidRPr="00012B4B" w:rsidRDefault="00012B4B" w:rsidP="00012B4B">
      <w:pPr>
        <w:pStyle w:val="Bibliography"/>
        <w:rPr>
          <w:lang w:val="en-US"/>
        </w:rPr>
      </w:pPr>
      <w:r w:rsidRPr="00012B4B">
        <w:rPr>
          <w:lang w:val="en-US"/>
        </w:rPr>
        <w:t>29.</w:t>
      </w:r>
      <w:r w:rsidRPr="00012B4B">
        <w:rPr>
          <w:lang w:val="en-US"/>
        </w:rPr>
        <w:tab/>
        <w:t xml:space="preserve">Warnock, R. A., Askari, S., Butcher, E. C. &amp; von Andrian, U. H. Molecular mechanisms of lymphocyte homing to peripheral lymph nodes. </w:t>
      </w:r>
      <w:r w:rsidRPr="00012B4B">
        <w:rPr>
          <w:i/>
          <w:iCs/>
          <w:lang w:val="en-US"/>
        </w:rPr>
        <w:t>J. Exp. Med.</w:t>
      </w:r>
      <w:r w:rsidRPr="00012B4B">
        <w:rPr>
          <w:lang w:val="en-US"/>
        </w:rPr>
        <w:t xml:space="preserve"> </w:t>
      </w:r>
      <w:r w:rsidRPr="00012B4B">
        <w:rPr>
          <w:b/>
          <w:bCs/>
          <w:lang w:val="en-US"/>
        </w:rPr>
        <w:t>187</w:t>
      </w:r>
      <w:r w:rsidRPr="00012B4B">
        <w:rPr>
          <w:lang w:val="en-US"/>
        </w:rPr>
        <w:t>, 205–216 (1998).</w:t>
      </w:r>
    </w:p>
    <w:p w14:paraId="0FF26DF2" w14:textId="77777777" w:rsidR="00012B4B" w:rsidRPr="00012B4B" w:rsidRDefault="00012B4B" w:rsidP="00012B4B">
      <w:pPr>
        <w:pStyle w:val="Bibliography"/>
        <w:rPr>
          <w:lang w:val="en-US"/>
        </w:rPr>
      </w:pPr>
      <w:r w:rsidRPr="00012B4B">
        <w:rPr>
          <w:lang w:val="en-US"/>
        </w:rPr>
        <w:t>30.</w:t>
      </w:r>
      <w:r w:rsidRPr="00012B4B">
        <w:rPr>
          <w:lang w:val="en-US"/>
        </w:rPr>
        <w:tab/>
        <w:t xml:space="preserve">Wirth, T. C., Pham, N.-L. L., Harty, J. T. &amp; Badovinac, V. P. High initial frequency of TCR-transgenic CD8 T cells alters inflammation and pathogen clearance without affecting memory T cell function. </w:t>
      </w:r>
      <w:r w:rsidRPr="00012B4B">
        <w:rPr>
          <w:i/>
          <w:iCs/>
          <w:lang w:val="en-US"/>
        </w:rPr>
        <w:t>Mol. Immunol.</w:t>
      </w:r>
      <w:r w:rsidRPr="00012B4B">
        <w:rPr>
          <w:lang w:val="en-US"/>
        </w:rPr>
        <w:t xml:space="preserve"> </w:t>
      </w:r>
      <w:r w:rsidRPr="00012B4B">
        <w:rPr>
          <w:b/>
          <w:bCs/>
          <w:lang w:val="en-US"/>
        </w:rPr>
        <w:t>47</w:t>
      </w:r>
      <w:r w:rsidRPr="00012B4B">
        <w:rPr>
          <w:lang w:val="en-US"/>
        </w:rPr>
        <w:t>, 71–78 (2009).</w:t>
      </w:r>
    </w:p>
    <w:p w14:paraId="62709F39" w14:textId="77777777" w:rsidR="00012B4B" w:rsidRPr="00012B4B" w:rsidRDefault="00012B4B" w:rsidP="00012B4B">
      <w:pPr>
        <w:pStyle w:val="Bibliography"/>
        <w:rPr>
          <w:lang w:val="en-US"/>
        </w:rPr>
      </w:pPr>
      <w:r w:rsidRPr="00012B4B">
        <w:rPr>
          <w:lang w:val="en-US"/>
        </w:rPr>
        <w:t>31.</w:t>
      </w:r>
      <w:r w:rsidRPr="00012B4B">
        <w:rPr>
          <w:lang w:val="en-US"/>
        </w:rPr>
        <w:tab/>
        <w:t xml:space="preserve">Murali-Krishna, K. </w:t>
      </w:r>
      <w:r w:rsidRPr="00012B4B">
        <w:rPr>
          <w:i/>
          <w:iCs/>
          <w:lang w:val="en-US"/>
        </w:rPr>
        <w:t>et al.</w:t>
      </w:r>
      <w:r w:rsidRPr="00012B4B">
        <w:rPr>
          <w:lang w:val="en-US"/>
        </w:rPr>
        <w:t xml:space="preserve"> Counting antigen-specific CD8 T cells: a reevaluation of bystander activation during viral infection. </w:t>
      </w:r>
      <w:r w:rsidRPr="00012B4B">
        <w:rPr>
          <w:i/>
          <w:iCs/>
          <w:lang w:val="en-US"/>
        </w:rPr>
        <w:t>Immunity</w:t>
      </w:r>
      <w:r w:rsidRPr="00012B4B">
        <w:rPr>
          <w:lang w:val="en-US"/>
        </w:rPr>
        <w:t xml:space="preserve"> </w:t>
      </w:r>
      <w:r w:rsidRPr="00012B4B">
        <w:rPr>
          <w:b/>
          <w:bCs/>
          <w:lang w:val="en-US"/>
        </w:rPr>
        <w:t>8</w:t>
      </w:r>
      <w:r w:rsidRPr="00012B4B">
        <w:rPr>
          <w:lang w:val="en-US"/>
        </w:rPr>
        <w:t>, 177–187 (1998).</w:t>
      </w:r>
    </w:p>
    <w:p w14:paraId="15994465" w14:textId="77777777" w:rsidR="00012B4B" w:rsidRPr="00012B4B" w:rsidRDefault="00012B4B" w:rsidP="00012B4B">
      <w:pPr>
        <w:pStyle w:val="Bibliography"/>
        <w:rPr>
          <w:lang w:val="en-US"/>
        </w:rPr>
      </w:pPr>
      <w:r w:rsidRPr="00012B4B">
        <w:rPr>
          <w:lang w:val="en-US"/>
        </w:rPr>
        <w:t>32.</w:t>
      </w:r>
      <w:r w:rsidRPr="00012B4B">
        <w:rPr>
          <w:lang w:val="en-US"/>
        </w:rPr>
        <w:tab/>
        <w:t xml:space="preserve">Suresh, M., Singh, A. &amp; Fischer, C. Role of tumor necrosis factor receptors in regulating CD8 T-cell responses during acute lymphocytic choriomeningitis virus infection. </w:t>
      </w:r>
      <w:r w:rsidRPr="00012B4B">
        <w:rPr>
          <w:i/>
          <w:iCs/>
          <w:lang w:val="en-US"/>
        </w:rPr>
        <w:t>J. Virol.</w:t>
      </w:r>
      <w:r w:rsidRPr="00012B4B">
        <w:rPr>
          <w:lang w:val="en-US"/>
        </w:rPr>
        <w:t xml:space="preserve"> </w:t>
      </w:r>
      <w:r w:rsidRPr="00012B4B">
        <w:rPr>
          <w:b/>
          <w:bCs/>
          <w:lang w:val="en-US"/>
        </w:rPr>
        <w:t>79</w:t>
      </w:r>
      <w:r w:rsidRPr="00012B4B">
        <w:rPr>
          <w:lang w:val="en-US"/>
        </w:rPr>
        <w:t>, 202–213 (2005).</w:t>
      </w:r>
    </w:p>
    <w:p w14:paraId="33E1A5BE" w14:textId="77777777" w:rsidR="00012B4B" w:rsidRPr="00012B4B" w:rsidRDefault="00012B4B" w:rsidP="00012B4B">
      <w:pPr>
        <w:pStyle w:val="Bibliography"/>
        <w:rPr>
          <w:lang w:val="en-US"/>
        </w:rPr>
      </w:pPr>
      <w:r w:rsidRPr="00012B4B">
        <w:rPr>
          <w:lang w:val="en-US"/>
        </w:rPr>
        <w:lastRenderedPageBreak/>
        <w:t>33.</w:t>
      </w:r>
      <w:r w:rsidRPr="00012B4B">
        <w:rPr>
          <w:lang w:val="en-US"/>
        </w:rPr>
        <w:tab/>
        <w:t xml:space="preserve">Wolfe, T. </w:t>
      </w:r>
      <w:r w:rsidRPr="00012B4B">
        <w:rPr>
          <w:i/>
          <w:iCs/>
          <w:lang w:val="en-US"/>
        </w:rPr>
        <w:t>et al.</w:t>
      </w:r>
      <w:r w:rsidRPr="00012B4B">
        <w:rPr>
          <w:lang w:val="en-US"/>
        </w:rPr>
        <w:t xml:space="preserve"> Reduction of antiviral CD8 lymphocytes in vivo with dendritic cells expressing Fas ligand-increased survival of viral (lymphocytic choriomeningitis virus) central nervous system infection. </w:t>
      </w:r>
      <w:r w:rsidRPr="00012B4B">
        <w:rPr>
          <w:i/>
          <w:iCs/>
          <w:lang w:val="en-US"/>
        </w:rPr>
        <w:t>J. Immunol.</w:t>
      </w:r>
      <w:r w:rsidRPr="00012B4B">
        <w:rPr>
          <w:lang w:val="en-US"/>
        </w:rPr>
        <w:t xml:space="preserve"> </w:t>
      </w:r>
      <w:r w:rsidRPr="00012B4B">
        <w:rPr>
          <w:b/>
          <w:bCs/>
          <w:lang w:val="en-US"/>
        </w:rPr>
        <w:t>169</w:t>
      </w:r>
      <w:r w:rsidRPr="00012B4B">
        <w:rPr>
          <w:lang w:val="en-US"/>
        </w:rPr>
        <w:t>, 4867–4872 (2002).</w:t>
      </w:r>
    </w:p>
    <w:p w14:paraId="72A035B3" w14:textId="77777777" w:rsidR="00012B4B" w:rsidRPr="00012B4B" w:rsidRDefault="00012B4B" w:rsidP="00012B4B">
      <w:pPr>
        <w:pStyle w:val="Bibliography"/>
        <w:rPr>
          <w:lang w:val="en-US"/>
        </w:rPr>
      </w:pPr>
      <w:r w:rsidRPr="00012B4B">
        <w:rPr>
          <w:lang w:val="en-US"/>
        </w:rPr>
        <w:t>34.</w:t>
      </w:r>
      <w:r w:rsidRPr="00012B4B">
        <w:rPr>
          <w:lang w:val="en-US"/>
        </w:rPr>
        <w:tab/>
        <w:t xml:space="preserve">Kamperschroer, C. &amp; Quinn, D. G. The role of proinflammatory cytokines in wasting disease during lymphocytic choriomeningitis virus infection. </w:t>
      </w:r>
      <w:r w:rsidRPr="00012B4B">
        <w:rPr>
          <w:i/>
          <w:iCs/>
          <w:lang w:val="en-US"/>
        </w:rPr>
        <w:t>J. Immunol.</w:t>
      </w:r>
      <w:r w:rsidRPr="00012B4B">
        <w:rPr>
          <w:lang w:val="en-US"/>
        </w:rPr>
        <w:t xml:space="preserve"> </w:t>
      </w:r>
      <w:r w:rsidRPr="00012B4B">
        <w:rPr>
          <w:b/>
          <w:bCs/>
          <w:lang w:val="en-US"/>
        </w:rPr>
        <w:t>169</w:t>
      </w:r>
      <w:r w:rsidRPr="00012B4B">
        <w:rPr>
          <w:lang w:val="en-US"/>
        </w:rPr>
        <w:t>, 340–349 (2002).</w:t>
      </w:r>
    </w:p>
    <w:p w14:paraId="0738FF67" w14:textId="77777777" w:rsidR="00012B4B" w:rsidRPr="00012B4B" w:rsidRDefault="00012B4B" w:rsidP="00012B4B">
      <w:pPr>
        <w:pStyle w:val="Bibliography"/>
        <w:rPr>
          <w:lang w:val="en-US"/>
        </w:rPr>
      </w:pPr>
      <w:r w:rsidRPr="00012B4B">
        <w:rPr>
          <w:lang w:val="en-US"/>
        </w:rPr>
        <w:t>35.</w:t>
      </w:r>
      <w:r w:rsidRPr="00012B4B">
        <w:rPr>
          <w:lang w:val="en-US"/>
        </w:rPr>
        <w:tab/>
        <w:t xml:space="preserve">Richter, K., Perriard, G. &amp; Oxenius, A. Reversal of chronic to resolved infection by IL-10 blockade is LCMV strain dependent. </w:t>
      </w:r>
      <w:r w:rsidRPr="00012B4B">
        <w:rPr>
          <w:i/>
          <w:iCs/>
          <w:lang w:val="en-US"/>
        </w:rPr>
        <w:t>Eur. J. Immunol.</w:t>
      </w:r>
      <w:r w:rsidRPr="00012B4B">
        <w:rPr>
          <w:lang w:val="en-US"/>
        </w:rPr>
        <w:t xml:space="preserve"> </w:t>
      </w:r>
      <w:r w:rsidRPr="00012B4B">
        <w:rPr>
          <w:b/>
          <w:bCs/>
          <w:lang w:val="en-US"/>
        </w:rPr>
        <w:t>43</w:t>
      </w:r>
      <w:r w:rsidRPr="00012B4B">
        <w:rPr>
          <w:lang w:val="en-US"/>
        </w:rPr>
        <w:t>, 649–654 (2013).</w:t>
      </w:r>
    </w:p>
    <w:p w14:paraId="30AAD122" w14:textId="77777777" w:rsidR="00012B4B" w:rsidRPr="00012B4B" w:rsidRDefault="00012B4B" w:rsidP="00012B4B">
      <w:pPr>
        <w:pStyle w:val="Bibliography"/>
        <w:rPr>
          <w:lang w:val="en-US"/>
        </w:rPr>
      </w:pPr>
      <w:r w:rsidRPr="00012B4B">
        <w:rPr>
          <w:lang w:val="en-US"/>
        </w:rPr>
        <w:t>36.</w:t>
      </w:r>
      <w:r w:rsidRPr="00012B4B">
        <w:rPr>
          <w:lang w:val="en-US"/>
        </w:rPr>
        <w:tab/>
        <w:t xml:space="preserve">Varga, G. </w:t>
      </w:r>
      <w:r w:rsidRPr="00012B4B">
        <w:rPr>
          <w:i/>
          <w:iCs/>
          <w:lang w:val="en-US"/>
        </w:rPr>
        <w:t>et al.</w:t>
      </w:r>
      <w:r w:rsidRPr="00012B4B">
        <w:rPr>
          <w:lang w:val="en-US"/>
        </w:rPr>
        <w:t xml:space="preserve"> LFA-1 contributes to signal I of T-cell activation and to the production of T(h)1 cytokines. </w:t>
      </w:r>
      <w:r w:rsidRPr="00012B4B">
        <w:rPr>
          <w:i/>
          <w:iCs/>
          <w:lang w:val="en-US"/>
        </w:rPr>
        <w:t>J. Invest. Dermatol.</w:t>
      </w:r>
      <w:r w:rsidRPr="00012B4B">
        <w:rPr>
          <w:lang w:val="en-US"/>
        </w:rPr>
        <w:t xml:space="preserve"> </w:t>
      </w:r>
      <w:r w:rsidRPr="00012B4B">
        <w:rPr>
          <w:b/>
          <w:bCs/>
          <w:lang w:val="en-US"/>
        </w:rPr>
        <w:t>130</w:t>
      </w:r>
      <w:r w:rsidRPr="00012B4B">
        <w:rPr>
          <w:lang w:val="en-US"/>
        </w:rPr>
        <w:t>, 1005–1012 (2010).</w:t>
      </w:r>
    </w:p>
    <w:p w14:paraId="2425E077" w14:textId="77777777" w:rsidR="00012B4B" w:rsidRPr="00012B4B" w:rsidRDefault="00012B4B" w:rsidP="00012B4B">
      <w:pPr>
        <w:pStyle w:val="Bibliography"/>
        <w:rPr>
          <w:lang w:val="en-US"/>
        </w:rPr>
      </w:pPr>
      <w:r w:rsidRPr="00012B4B">
        <w:rPr>
          <w:lang w:val="en-US"/>
        </w:rPr>
        <w:t>37.</w:t>
      </w:r>
      <w:r w:rsidRPr="00012B4B">
        <w:rPr>
          <w:lang w:val="en-US"/>
        </w:rPr>
        <w:tab/>
        <w:t xml:space="preserve">Li, D., Molldrem, J. J. &amp; Ma, Q. LFA-1 regulates CD8+ T cell activation via T cell receptor-mediated and LFA-1-mediated Erk1/2 signal pathways. </w:t>
      </w:r>
      <w:r w:rsidRPr="00012B4B">
        <w:rPr>
          <w:i/>
          <w:iCs/>
          <w:lang w:val="en-US"/>
        </w:rPr>
        <w:t>J. Biol. Chem.</w:t>
      </w:r>
      <w:r w:rsidRPr="00012B4B">
        <w:rPr>
          <w:lang w:val="en-US"/>
        </w:rPr>
        <w:t xml:space="preserve"> </w:t>
      </w:r>
      <w:r w:rsidRPr="00012B4B">
        <w:rPr>
          <w:b/>
          <w:bCs/>
          <w:lang w:val="en-US"/>
        </w:rPr>
        <w:t>284</w:t>
      </w:r>
      <w:r w:rsidRPr="00012B4B">
        <w:rPr>
          <w:lang w:val="en-US"/>
        </w:rPr>
        <w:t>, 21001–21010 (2009).</w:t>
      </w:r>
    </w:p>
    <w:p w14:paraId="5C210A46" w14:textId="77777777" w:rsidR="00012B4B" w:rsidRPr="00012B4B" w:rsidRDefault="00012B4B" w:rsidP="00012B4B">
      <w:pPr>
        <w:pStyle w:val="Bibliography"/>
        <w:rPr>
          <w:lang w:val="en-US"/>
        </w:rPr>
      </w:pPr>
      <w:r w:rsidRPr="00012B4B">
        <w:rPr>
          <w:lang w:val="en-US"/>
        </w:rPr>
        <w:t>38.</w:t>
      </w:r>
      <w:r w:rsidRPr="00012B4B">
        <w:rPr>
          <w:lang w:val="en-US"/>
        </w:rPr>
        <w:tab/>
        <w:t xml:space="preserve">Schietinger, A. &amp; Greenberg, P. D. Tolerance and exhaustion: defining mechanisms of T cell dysfunction. </w:t>
      </w:r>
      <w:r w:rsidRPr="00012B4B">
        <w:rPr>
          <w:i/>
          <w:iCs/>
          <w:lang w:val="en-US"/>
        </w:rPr>
        <w:t>Trends Immunol.</w:t>
      </w:r>
      <w:r w:rsidRPr="00012B4B">
        <w:rPr>
          <w:lang w:val="en-US"/>
        </w:rPr>
        <w:t xml:space="preserve"> </w:t>
      </w:r>
      <w:r w:rsidRPr="00012B4B">
        <w:rPr>
          <w:b/>
          <w:bCs/>
          <w:lang w:val="en-US"/>
        </w:rPr>
        <w:t>35</w:t>
      </w:r>
      <w:r w:rsidRPr="00012B4B">
        <w:rPr>
          <w:lang w:val="en-US"/>
        </w:rPr>
        <w:t>, 51–60 (2014).</w:t>
      </w:r>
    </w:p>
    <w:p w14:paraId="7A93FF7C" w14:textId="77777777" w:rsidR="00012B4B" w:rsidRPr="00012B4B" w:rsidRDefault="00012B4B" w:rsidP="00012B4B">
      <w:pPr>
        <w:pStyle w:val="Bibliography"/>
        <w:rPr>
          <w:lang w:val="en-US"/>
        </w:rPr>
      </w:pPr>
      <w:r w:rsidRPr="00012B4B">
        <w:rPr>
          <w:lang w:val="en-US"/>
        </w:rPr>
        <w:t>39.</w:t>
      </w:r>
      <w:r w:rsidRPr="00012B4B">
        <w:rPr>
          <w:lang w:val="en-US"/>
        </w:rPr>
        <w:tab/>
        <w:t xml:space="preserve">Parish, I. A. </w:t>
      </w:r>
      <w:r w:rsidRPr="00012B4B">
        <w:rPr>
          <w:i/>
          <w:iCs/>
          <w:lang w:val="en-US"/>
        </w:rPr>
        <w:t>et al.</w:t>
      </w:r>
      <w:r w:rsidRPr="00012B4B">
        <w:rPr>
          <w:lang w:val="en-US"/>
        </w:rPr>
        <w:t xml:space="preserve"> The molecular signature of CD8+ T cells undergoing deletional tolerance. </w:t>
      </w:r>
      <w:r w:rsidRPr="00012B4B">
        <w:rPr>
          <w:i/>
          <w:iCs/>
          <w:lang w:val="en-US"/>
        </w:rPr>
        <w:t>Blood</w:t>
      </w:r>
      <w:r w:rsidRPr="00012B4B">
        <w:rPr>
          <w:lang w:val="en-US"/>
        </w:rPr>
        <w:t xml:space="preserve"> </w:t>
      </w:r>
      <w:r w:rsidRPr="00012B4B">
        <w:rPr>
          <w:b/>
          <w:bCs/>
          <w:lang w:val="en-US"/>
        </w:rPr>
        <w:t>113</w:t>
      </w:r>
      <w:r w:rsidRPr="00012B4B">
        <w:rPr>
          <w:lang w:val="en-US"/>
        </w:rPr>
        <w:t>, 4575–4585 (2009).</w:t>
      </w:r>
    </w:p>
    <w:p w14:paraId="1ABD3302" w14:textId="77777777" w:rsidR="00012B4B" w:rsidRPr="00012B4B" w:rsidRDefault="00012B4B" w:rsidP="00012B4B">
      <w:pPr>
        <w:pStyle w:val="Bibliography"/>
        <w:rPr>
          <w:lang w:val="en-US"/>
        </w:rPr>
      </w:pPr>
      <w:r w:rsidRPr="00012B4B">
        <w:rPr>
          <w:lang w:val="en-US"/>
        </w:rPr>
        <w:t>40.</w:t>
      </w:r>
      <w:r w:rsidRPr="00012B4B">
        <w:rPr>
          <w:lang w:val="en-US"/>
        </w:rPr>
        <w:tab/>
        <w:t xml:space="preserve">Safford, M. </w:t>
      </w:r>
      <w:r w:rsidRPr="00012B4B">
        <w:rPr>
          <w:i/>
          <w:iCs/>
          <w:lang w:val="en-US"/>
        </w:rPr>
        <w:t>et al.</w:t>
      </w:r>
      <w:r w:rsidRPr="00012B4B">
        <w:rPr>
          <w:lang w:val="en-US"/>
        </w:rPr>
        <w:t xml:space="preserve"> Egr-2 and Egr-3 are negative regulators of T cell activation. </w:t>
      </w:r>
      <w:r w:rsidRPr="00012B4B">
        <w:rPr>
          <w:i/>
          <w:iCs/>
          <w:lang w:val="en-US"/>
        </w:rPr>
        <w:t>Nat. Immunol.</w:t>
      </w:r>
      <w:r w:rsidRPr="00012B4B">
        <w:rPr>
          <w:lang w:val="en-US"/>
        </w:rPr>
        <w:t xml:space="preserve"> </w:t>
      </w:r>
      <w:r w:rsidRPr="00012B4B">
        <w:rPr>
          <w:b/>
          <w:bCs/>
          <w:lang w:val="en-US"/>
        </w:rPr>
        <w:t>6</w:t>
      </w:r>
      <w:r w:rsidRPr="00012B4B">
        <w:rPr>
          <w:lang w:val="en-US"/>
        </w:rPr>
        <w:t>, 472–480 (2005).</w:t>
      </w:r>
    </w:p>
    <w:p w14:paraId="675A8A0C" w14:textId="77777777" w:rsidR="00012B4B" w:rsidRPr="00012B4B" w:rsidRDefault="00012B4B" w:rsidP="00012B4B">
      <w:pPr>
        <w:pStyle w:val="Bibliography"/>
        <w:rPr>
          <w:lang w:val="en-US"/>
        </w:rPr>
      </w:pPr>
      <w:r w:rsidRPr="00012B4B">
        <w:rPr>
          <w:lang w:val="en-US"/>
        </w:rPr>
        <w:t>41.</w:t>
      </w:r>
      <w:r w:rsidRPr="00012B4B">
        <w:rPr>
          <w:lang w:val="en-US"/>
        </w:rPr>
        <w:tab/>
        <w:t xml:space="preserve">Wherry, E. J. </w:t>
      </w:r>
      <w:r w:rsidRPr="00012B4B">
        <w:rPr>
          <w:i/>
          <w:iCs/>
          <w:lang w:val="en-US"/>
        </w:rPr>
        <w:t>et al.</w:t>
      </w:r>
      <w:r w:rsidRPr="00012B4B">
        <w:rPr>
          <w:lang w:val="en-US"/>
        </w:rPr>
        <w:t xml:space="preserve"> Molecular signature of CD8+ T cell exhaustion during chronic viral infection. </w:t>
      </w:r>
      <w:r w:rsidRPr="00012B4B">
        <w:rPr>
          <w:i/>
          <w:iCs/>
          <w:lang w:val="en-US"/>
        </w:rPr>
        <w:t>Immunity</w:t>
      </w:r>
      <w:r w:rsidRPr="00012B4B">
        <w:rPr>
          <w:lang w:val="en-US"/>
        </w:rPr>
        <w:t xml:space="preserve"> </w:t>
      </w:r>
      <w:r w:rsidRPr="00012B4B">
        <w:rPr>
          <w:b/>
          <w:bCs/>
          <w:lang w:val="en-US"/>
        </w:rPr>
        <w:t>27</w:t>
      </w:r>
      <w:r w:rsidRPr="00012B4B">
        <w:rPr>
          <w:lang w:val="en-US"/>
        </w:rPr>
        <w:t>, 670–684 (2007).</w:t>
      </w:r>
    </w:p>
    <w:p w14:paraId="176EE2A7" w14:textId="77777777" w:rsidR="00012B4B" w:rsidRPr="00012B4B" w:rsidRDefault="00012B4B" w:rsidP="00012B4B">
      <w:pPr>
        <w:pStyle w:val="Bibliography"/>
        <w:rPr>
          <w:lang w:val="en-US"/>
        </w:rPr>
      </w:pPr>
      <w:r w:rsidRPr="00012B4B">
        <w:rPr>
          <w:lang w:val="en-US"/>
        </w:rPr>
        <w:t>42.</w:t>
      </w:r>
      <w:r w:rsidRPr="00012B4B">
        <w:rPr>
          <w:lang w:val="en-US"/>
        </w:rPr>
        <w:tab/>
        <w:t xml:space="preserve">West, E. E. </w:t>
      </w:r>
      <w:r w:rsidRPr="00012B4B">
        <w:rPr>
          <w:i/>
          <w:iCs/>
          <w:lang w:val="en-US"/>
        </w:rPr>
        <w:t>et al.</w:t>
      </w:r>
      <w:r w:rsidRPr="00012B4B">
        <w:rPr>
          <w:lang w:val="en-US"/>
        </w:rPr>
        <w:t xml:space="preserve"> Tight regulation of memory CD8(+) T cells limits their effectiveness during sustained high viral load. </w:t>
      </w:r>
      <w:r w:rsidRPr="00012B4B">
        <w:rPr>
          <w:i/>
          <w:iCs/>
          <w:lang w:val="en-US"/>
        </w:rPr>
        <w:t>Immunity</w:t>
      </w:r>
      <w:r w:rsidRPr="00012B4B">
        <w:rPr>
          <w:lang w:val="en-US"/>
        </w:rPr>
        <w:t xml:space="preserve"> </w:t>
      </w:r>
      <w:r w:rsidRPr="00012B4B">
        <w:rPr>
          <w:b/>
          <w:bCs/>
          <w:lang w:val="en-US"/>
        </w:rPr>
        <w:t>35</w:t>
      </w:r>
      <w:r w:rsidRPr="00012B4B">
        <w:rPr>
          <w:lang w:val="en-US"/>
        </w:rPr>
        <w:t>, 285–298 (2011).</w:t>
      </w:r>
    </w:p>
    <w:p w14:paraId="13F9D08D" w14:textId="77777777" w:rsidR="00012B4B" w:rsidRPr="00012B4B" w:rsidRDefault="00012B4B" w:rsidP="00012B4B">
      <w:pPr>
        <w:pStyle w:val="Bibliography"/>
        <w:rPr>
          <w:lang w:val="en-US"/>
        </w:rPr>
      </w:pPr>
      <w:r w:rsidRPr="00012B4B">
        <w:rPr>
          <w:lang w:val="en-US"/>
        </w:rPr>
        <w:t>43.</w:t>
      </w:r>
      <w:r w:rsidRPr="00012B4B">
        <w:rPr>
          <w:lang w:val="en-US"/>
        </w:rPr>
        <w:tab/>
        <w:t xml:space="preserve">Kao, C. </w:t>
      </w:r>
      <w:r w:rsidRPr="00012B4B">
        <w:rPr>
          <w:i/>
          <w:iCs/>
          <w:lang w:val="en-US"/>
        </w:rPr>
        <w:t>et al.</w:t>
      </w:r>
      <w:r w:rsidRPr="00012B4B">
        <w:rPr>
          <w:lang w:val="en-US"/>
        </w:rPr>
        <w:t xml:space="preserve"> Transcription factor T-bet represses expression of the inhibitory receptor PD-1 and sustains virus-specific CD8+ T cell responses during chronic infection. </w:t>
      </w:r>
      <w:r w:rsidRPr="00012B4B">
        <w:rPr>
          <w:i/>
          <w:iCs/>
          <w:lang w:val="en-US"/>
        </w:rPr>
        <w:t>Nat Immunol</w:t>
      </w:r>
      <w:r w:rsidRPr="00012B4B">
        <w:rPr>
          <w:lang w:val="en-US"/>
        </w:rPr>
        <w:t xml:space="preserve"> </w:t>
      </w:r>
      <w:r w:rsidRPr="00012B4B">
        <w:rPr>
          <w:b/>
          <w:bCs/>
          <w:lang w:val="en-US"/>
        </w:rPr>
        <w:t>12</w:t>
      </w:r>
      <w:r w:rsidRPr="00012B4B">
        <w:rPr>
          <w:lang w:val="en-US"/>
        </w:rPr>
        <w:t>, 663–71 (2011).</w:t>
      </w:r>
    </w:p>
    <w:p w14:paraId="71C26751" w14:textId="77777777" w:rsidR="00012B4B" w:rsidRPr="00012B4B" w:rsidRDefault="00012B4B" w:rsidP="00012B4B">
      <w:pPr>
        <w:pStyle w:val="Bibliography"/>
        <w:rPr>
          <w:lang w:val="en-US"/>
        </w:rPr>
      </w:pPr>
      <w:r w:rsidRPr="00012B4B">
        <w:rPr>
          <w:lang w:val="en-US"/>
        </w:rPr>
        <w:t>44.</w:t>
      </w:r>
      <w:r w:rsidRPr="00012B4B">
        <w:rPr>
          <w:lang w:val="en-US"/>
        </w:rPr>
        <w:tab/>
        <w:t xml:space="preserve">Paley, M. A. </w:t>
      </w:r>
      <w:r w:rsidRPr="00012B4B">
        <w:rPr>
          <w:i/>
          <w:iCs/>
          <w:lang w:val="en-US"/>
        </w:rPr>
        <w:t>et al.</w:t>
      </w:r>
      <w:r w:rsidRPr="00012B4B">
        <w:rPr>
          <w:lang w:val="en-US"/>
        </w:rPr>
        <w:t xml:space="preserve"> Progenitor and terminal subsets of CD8+ T cells cooperate to contain chronic viral infection. </w:t>
      </w:r>
      <w:r w:rsidRPr="00012B4B">
        <w:rPr>
          <w:i/>
          <w:iCs/>
          <w:lang w:val="en-US"/>
        </w:rPr>
        <w:t>Science</w:t>
      </w:r>
      <w:r w:rsidRPr="00012B4B">
        <w:rPr>
          <w:lang w:val="en-US"/>
        </w:rPr>
        <w:t xml:space="preserve"> </w:t>
      </w:r>
      <w:r w:rsidRPr="00012B4B">
        <w:rPr>
          <w:b/>
          <w:bCs/>
          <w:lang w:val="en-US"/>
        </w:rPr>
        <w:t>338</w:t>
      </w:r>
      <w:r w:rsidRPr="00012B4B">
        <w:rPr>
          <w:lang w:val="en-US"/>
        </w:rPr>
        <w:t>, 1220–1225 (2012).</w:t>
      </w:r>
    </w:p>
    <w:p w14:paraId="4A02942C" w14:textId="77777777" w:rsidR="00012B4B" w:rsidRPr="00012B4B" w:rsidRDefault="00012B4B" w:rsidP="00012B4B">
      <w:pPr>
        <w:pStyle w:val="Bibliography"/>
        <w:rPr>
          <w:lang w:val="en-US"/>
        </w:rPr>
      </w:pPr>
      <w:r w:rsidRPr="00012B4B">
        <w:rPr>
          <w:lang w:val="en-US"/>
        </w:rPr>
        <w:lastRenderedPageBreak/>
        <w:t>45.</w:t>
      </w:r>
      <w:r w:rsidRPr="00012B4B">
        <w:rPr>
          <w:lang w:val="en-US"/>
        </w:rPr>
        <w:tab/>
        <w:t xml:space="preserve">Lebwohl, M. </w:t>
      </w:r>
      <w:r w:rsidRPr="00012B4B">
        <w:rPr>
          <w:i/>
          <w:iCs/>
          <w:lang w:val="en-US"/>
        </w:rPr>
        <w:t>et al.</w:t>
      </w:r>
      <w:r w:rsidRPr="00012B4B">
        <w:rPr>
          <w:lang w:val="en-US"/>
        </w:rPr>
        <w:t xml:space="preserve"> A novel targeted T-cell modulator, efalizumab, for plaque psoriasis. </w:t>
      </w:r>
      <w:r w:rsidRPr="00012B4B">
        <w:rPr>
          <w:i/>
          <w:iCs/>
          <w:lang w:val="en-US"/>
        </w:rPr>
        <w:t>N. Engl. J. Med.</w:t>
      </w:r>
      <w:r w:rsidRPr="00012B4B">
        <w:rPr>
          <w:lang w:val="en-US"/>
        </w:rPr>
        <w:t xml:space="preserve"> </w:t>
      </w:r>
      <w:r w:rsidRPr="00012B4B">
        <w:rPr>
          <w:b/>
          <w:bCs/>
          <w:lang w:val="en-US"/>
        </w:rPr>
        <w:t>349</w:t>
      </w:r>
      <w:r w:rsidRPr="00012B4B">
        <w:rPr>
          <w:lang w:val="en-US"/>
        </w:rPr>
        <w:t>, 2004–2013 (2003).</w:t>
      </w:r>
    </w:p>
    <w:p w14:paraId="5FFB3EAA" w14:textId="77777777" w:rsidR="00012B4B" w:rsidRPr="00012B4B" w:rsidRDefault="00012B4B" w:rsidP="00012B4B">
      <w:pPr>
        <w:pStyle w:val="Bibliography"/>
        <w:rPr>
          <w:lang w:val="en-US"/>
        </w:rPr>
      </w:pPr>
      <w:r w:rsidRPr="00012B4B">
        <w:rPr>
          <w:lang w:val="en-US"/>
        </w:rPr>
        <w:t>46.</w:t>
      </w:r>
      <w:r w:rsidRPr="00012B4B">
        <w:rPr>
          <w:lang w:val="en-US"/>
        </w:rPr>
        <w:tab/>
        <w:t xml:space="preserve">Carson, K. R. </w:t>
      </w:r>
      <w:r w:rsidRPr="00012B4B">
        <w:rPr>
          <w:i/>
          <w:iCs/>
          <w:lang w:val="en-US"/>
        </w:rPr>
        <w:t>et al.</w:t>
      </w:r>
      <w:r w:rsidRPr="00012B4B">
        <w:rPr>
          <w:lang w:val="en-US"/>
        </w:rPr>
        <w:t xml:space="preserve"> Monoclonal antibody-associated progressive multifocal leucoencephalopathy in patients treated with rituximab, natalizumab, and efalizumab: a Review from the Research on Adverse Drug Events and Reports (RADAR) Project. </w:t>
      </w:r>
      <w:r w:rsidRPr="00012B4B">
        <w:rPr>
          <w:i/>
          <w:iCs/>
          <w:lang w:val="en-US"/>
        </w:rPr>
        <w:t>Lancet Oncol</w:t>
      </w:r>
      <w:r w:rsidRPr="00012B4B">
        <w:rPr>
          <w:lang w:val="en-US"/>
        </w:rPr>
        <w:t xml:space="preserve"> </w:t>
      </w:r>
      <w:r w:rsidRPr="00012B4B">
        <w:rPr>
          <w:b/>
          <w:bCs/>
          <w:lang w:val="en-US"/>
        </w:rPr>
        <w:t>10</w:t>
      </w:r>
      <w:r w:rsidRPr="00012B4B">
        <w:rPr>
          <w:lang w:val="en-US"/>
        </w:rPr>
        <w:t>, 816–24 (2009).</w:t>
      </w:r>
    </w:p>
    <w:p w14:paraId="449FE210" w14:textId="77777777" w:rsidR="00012B4B" w:rsidRPr="00012B4B" w:rsidRDefault="00012B4B" w:rsidP="00012B4B">
      <w:pPr>
        <w:pStyle w:val="Bibliography"/>
        <w:rPr>
          <w:lang w:val="en-US"/>
        </w:rPr>
      </w:pPr>
      <w:r w:rsidRPr="00012B4B">
        <w:rPr>
          <w:lang w:val="en-US"/>
        </w:rPr>
        <w:t>47.</w:t>
      </w:r>
      <w:r w:rsidRPr="00012B4B">
        <w:rPr>
          <w:lang w:val="en-US"/>
        </w:rPr>
        <w:tab/>
        <w:t xml:space="preserve">Major, E. O., Frohman, E. &amp; Douek, D. JC viremia in natalizumab-treated patients with multiple sclerosis. </w:t>
      </w:r>
      <w:r w:rsidRPr="00012B4B">
        <w:rPr>
          <w:i/>
          <w:iCs/>
          <w:lang w:val="en-US"/>
        </w:rPr>
        <w:t>N. Engl. J. Med.</w:t>
      </w:r>
      <w:r w:rsidRPr="00012B4B">
        <w:rPr>
          <w:lang w:val="en-US"/>
        </w:rPr>
        <w:t xml:space="preserve"> </w:t>
      </w:r>
      <w:r w:rsidRPr="00012B4B">
        <w:rPr>
          <w:b/>
          <w:bCs/>
          <w:lang w:val="en-US"/>
        </w:rPr>
        <w:t>368</w:t>
      </w:r>
      <w:r w:rsidRPr="00012B4B">
        <w:rPr>
          <w:lang w:val="en-US"/>
        </w:rPr>
        <w:t>, 2240–2241 (2013).</w:t>
      </w:r>
    </w:p>
    <w:p w14:paraId="44B065A4" w14:textId="77777777" w:rsidR="00012B4B" w:rsidRPr="00012B4B" w:rsidRDefault="00012B4B" w:rsidP="00012B4B">
      <w:pPr>
        <w:pStyle w:val="Bibliography"/>
        <w:rPr>
          <w:lang w:val="en-US"/>
        </w:rPr>
      </w:pPr>
      <w:r w:rsidRPr="00012B4B">
        <w:rPr>
          <w:lang w:val="en-US"/>
        </w:rPr>
        <w:t>48.</w:t>
      </w:r>
      <w:r w:rsidRPr="00012B4B">
        <w:rPr>
          <w:lang w:val="en-US"/>
        </w:rPr>
        <w:tab/>
        <w:t xml:space="preserve">Matloubian, M., Concepcion, R. J. &amp; Ahmed, R. CD4+ T cells are required to sustain CD8+ cytotoxic T-cell responses during chronic viral infection. </w:t>
      </w:r>
      <w:r w:rsidRPr="00012B4B">
        <w:rPr>
          <w:i/>
          <w:iCs/>
          <w:lang w:val="en-US"/>
        </w:rPr>
        <w:t>J. Virol.</w:t>
      </w:r>
      <w:r w:rsidRPr="00012B4B">
        <w:rPr>
          <w:lang w:val="en-US"/>
        </w:rPr>
        <w:t xml:space="preserve"> </w:t>
      </w:r>
      <w:r w:rsidRPr="00012B4B">
        <w:rPr>
          <w:b/>
          <w:bCs/>
          <w:lang w:val="en-US"/>
        </w:rPr>
        <w:t>68</w:t>
      </w:r>
      <w:r w:rsidRPr="00012B4B">
        <w:rPr>
          <w:lang w:val="en-US"/>
        </w:rPr>
        <w:t>, 8056–8063 (1994).</w:t>
      </w:r>
    </w:p>
    <w:p w14:paraId="3E3818A6" w14:textId="77777777" w:rsidR="00012B4B" w:rsidRPr="00012B4B" w:rsidRDefault="00012B4B" w:rsidP="00012B4B">
      <w:pPr>
        <w:pStyle w:val="Bibliography"/>
        <w:rPr>
          <w:lang w:val="en-US"/>
        </w:rPr>
      </w:pPr>
      <w:r w:rsidRPr="00012B4B">
        <w:rPr>
          <w:lang w:val="en-US"/>
        </w:rPr>
        <w:t>49.</w:t>
      </w:r>
      <w:r w:rsidRPr="00012B4B">
        <w:rPr>
          <w:lang w:val="en-US"/>
        </w:rPr>
        <w:tab/>
        <w:t xml:space="preserve">Anderson, D. C. &amp; Springer, T. A. Leukocyte adhesion deficiency: An inherited defect in the Mac-1, LFA-1, and p150,95 glycoproteins. </w:t>
      </w:r>
      <w:r w:rsidRPr="00012B4B">
        <w:rPr>
          <w:i/>
          <w:iCs/>
          <w:lang w:val="en-US"/>
        </w:rPr>
        <w:t>Ann. Rev. of Med.</w:t>
      </w:r>
      <w:r w:rsidRPr="00012B4B">
        <w:rPr>
          <w:lang w:val="en-US"/>
        </w:rPr>
        <w:t xml:space="preserve"> </w:t>
      </w:r>
      <w:r w:rsidRPr="00012B4B">
        <w:rPr>
          <w:b/>
          <w:bCs/>
          <w:lang w:val="en-US"/>
        </w:rPr>
        <w:t>38</w:t>
      </w:r>
      <w:r w:rsidRPr="00012B4B">
        <w:rPr>
          <w:lang w:val="en-US"/>
        </w:rPr>
        <w:t>, 175–194 (1987).</w:t>
      </w:r>
    </w:p>
    <w:p w14:paraId="09166A81" w14:textId="77777777" w:rsidR="00012B4B" w:rsidRPr="00012B4B" w:rsidRDefault="00012B4B" w:rsidP="00012B4B">
      <w:pPr>
        <w:pStyle w:val="Bibliography"/>
        <w:rPr>
          <w:lang w:val="en-US"/>
        </w:rPr>
      </w:pPr>
      <w:r w:rsidRPr="00012B4B">
        <w:rPr>
          <w:lang w:val="en-US"/>
        </w:rPr>
        <w:t>50.</w:t>
      </w:r>
      <w:r w:rsidRPr="00012B4B">
        <w:rPr>
          <w:lang w:val="en-US"/>
        </w:rPr>
        <w:tab/>
        <w:t xml:space="preserve">Li, Q. </w:t>
      </w:r>
      <w:r w:rsidRPr="00012B4B">
        <w:rPr>
          <w:i/>
          <w:iCs/>
          <w:lang w:val="en-US"/>
        </w:rPr>
        <w:t>et al.</w:t>
      </w:r>
      <w:r w:rsidRPr="00012B4B">
        <w:rPr>
          <w:lang w:val="en-US"/>
        </w:rPr>
        <w:t xml:space="preserve"> Visualizing antigen-specific and infected cells in situ predicts outcomes in early viral infection. </w:t>
      </w:r>
      <w:r w:rsidRPr="00012B4B">
        <w:rPr>
          <w:i/>
          <w:iCs/>
          <w:lang w:val="en-US"/>
        </w:rPr>
        <w:t>Science</w:t>
      </w:r>
      <w:r w:rsidRPr="00012B4B">
        <w:rPr>
          <w:lang w:val="en-US"/>
        </w:rPr>
        <w:t xml:space="preserve"> </w:t>
      </w:r>
      <w:r w:rsidRPr="00012B4B">
        <w:rPr>
          <w:b/>
          <w:bCs/>
          <w:lang w:val="en-US"/>
        </w:rPr>
        <w:t>323</w:t>
      </w:r>
      <w:r w:rsidRPr="00012B4B">
        <w:rPr>
          <w:lang w:val="en-US"/>
        </w:rPr>
        <w:t>, 1726–1729 (2009).</w:t>
      </w:r>
    </w:p>
    <w:p w14:paraId="3C00944E" w14:textId="77777777" w:rsidR="00012B4B" w:rsidRPr="00012B4B" w:rsidRDefault="00012B4B" w:rsidP="00012B4B">
      <w:pPr>
        <w:pStyle w:val="Bibliography"/>
        <w:rPr>
          <w:lang w:val="en-US"/>
        </w:rPr>
      </w:pPr>
      <w:r w:rsidRPr="00012B4B">
        <w:rPr>
          <w:lang w:val="en-US"/>
        </w:rPr>
        <w:t>51.</w:t>
      </w:r>
      <w:r w:rsidRPr="00012B4B">
        <w:rPr>
          <w:lang w:val="en-US"/>
        </w:rPr>
        <w:tab/>
        <w:t xml:space="preserve">Gosert, R., Kardas, P., Major, E. O. &amp; Hirsch, H. H. Rearranged JC virus noncoding control regions found in progressive multifocal leukoencephalopathy patient samples increase virus early gene expression and replication rate. </w:t>
      </w:r>
      <w:r w:rsidRPr="00012B4B">
        <w:rPr>
          <w:i/>
          <w:iCs/>
          <w:lang w:val="en-US"/>
        </w:rPr>
        <w:t>J Virol</w:t>
      </w:r>
      <w:r w:rsidRPr="00012B4B">
        <w:rPr>
          <w:lang w:val="en-US"/>
        </w:rPr>
        <w:t xml:space="preserve"> </w:t>
      </w:r>
      <w:r w:rsidRPr="00012B4B">
        <w:rPr>
          <w:b/>
          <w:bCs/>
          <w:lang w:val="en-US"/>
        </w:rPr>
        <w:t>84</w:t>
      </w:r>
      <w:r w:rsidRPr="00012B4B">
        <w:rPr>
          <w:lang w:val="en-US"/>
        </w:rPr>
        <w:t>, 10448–56 (2010).</w:t>
      </w:r>
    </w:p>
    <w:p w14:paraId="7D464C13" w14:textId="77777777" w:rsidR="00012B4B" w:rsidRPr="00012B4B" w:rsidRDefault="00012B4B" w:rsidP="00012B4B">
      <w:pPr>
        <w:pStyle w:val="Bibliography"/>
        <w:rPr>
          <w:lang w:val="en-US"/>
        </w:rPr>
      </w:pPr>
      <w:r w:rsidRPr="00012B4B">
        <w:rPr>
          <w:lang w:val="en-US"/>
        </w:rPr>
        <w:t>52.</w:t>
      </w:r>
      <w:r w:rsidRPr="00012B4B">
        <w:rPr>
          <w:lang w:val="en-US"/>
        </w:rPr>
        <w:tab/>
        <w:t xml:space="preserve">Bachmann, M. F. </w:t>
      </w:r>
      <w:r w:rsidRPr="00012B4B">
        <w:rPr>
          <w:i/>
          <w:iCs/>
          <w:lang w:val="en-US"/>
        </w:rPr>
        <w:t>et al.</w:t>
      </w:r>
      <w:r w:rsidRPr="00012B4B">
        <w:rPr>
          <w:lang w:val="en-US"/>
        </w:rPr>
        <w:t xml:space="preserve"> Distinct roles for LFA-1 and CD28 during activation of naive T cells: adhesion versus costimulation. </w:t>
      </w:r>
      <w:r w:rsidRPr="00012B4B">
        <w:rPr>
          <w:i/>
          <w:iCs/>
          <w:lang w:val="en-US"/>
        </w:rPr>
        <w:t>Immunity</w:t>
      </w:r>
      <w:r w:rsidRPr="00012B4B">
        <w:rPr>
          <w:lang w:val="en-US"/>
        </w:rPr>
        <w:t xml:space="preserve"> </w:t>
      </w:r>
      <w:r w:rsidRPr="00012B4B">
        <w:rPr>
          <w:b/>
          <w:bCs/>
          <w:lang w:val="en-US"/>
        </w:rPr>
        <w:t>7</w:t>
      </w:r>
      <w:r w:rsidRPr="00012B4B">
        <w:rPr>
          <w:lang w:val="en-US"/>
        </w:rPr>
        <w:t>, 549–57 (1997).</w:t>
      </w:r>
    </w:p>
    <w:p w14:paraId="0CE169A5" w14:textId="77777777" w:rsidR="00012B4B" w:rsidRPr="00012B4B" w:rsidRDefault="00012B4B" w:rsidP="00012B4B">
      <w:pPr>
        <w:pStyle w:val="Bibliography"/>
        <w:rPr>
          <w:lang w:val="en-US"/>
        </w:rPr>
      </w:pPr>
      <w:r w:rsidRPr="00012B4B">
        <w:rPr>
          <w:lang w:val="en-US"/>
        </w:rPr>
        <w:t>53.</w:t>
      </w:r>
      <w:r w:rsidRPr="00012B4B">
        <w:rPr>
          <w:lang w:val="en-US"/>
        </w:rPr>
        <w:tab/>
        <w:t xml:space="preserve">Henrickson, S. E. </w:t>
      </w:r>
      <w:r w:rsidRPr="00012B4B">
        <w:rPr>
          <w:i/>
          <w:iCs/>
          <w:lang w:val="en-US"/>
        </w:rPr>
        <w:t>et al.</w:t>
      </w:r>
      <w:r w:rsidRPr="00012B4B">
        <w:rPr>
          <w:lang w:val="en-US"/>
        </w:rPr>
        <w:t xml:space="preserve"> T cell sensing of antigen dose governs interactive behavior with dendritic cells and sets a threshold for T cell activation. </w:t>
      </w:r>
      <w:r w:rsidRPr="00012B4B">
        <w:rPr>
          <w:i/>
          <w:iCs/>
          <w:lang w:val="en-US"/>
        </w:rPr>
        <w:t>Nat Immunol</w:t>
      </w:r>
      <w:r w:rsidRPr="00012B4B">
        <w:rPr>
          <w:lang w:val="en-US"/>
        </w:rPr>
        <w:t xml:space="preserve"> </w:t>
      </w:r>
      <w:r w:rsidRPr="00012B4B">
        <w:rPr>
          <w:b/>
          <w:bCs/>
          <w:lang w:val="en-US"/>
        </w:rPr>
        <w:t>9</w:t>
      </w:r>
      <w:r w:rsidRPr="00012B4B">
        <w:rPr>
          <w:lang w:val="en-US"/>
        </w:rPr>
        <w:t>, 282–91 (2008).</w:t>
      </w:r>
    </w:p>
    <w:p w14:paraId="3E9E926B" w14:textId="77777777" w:rsidR="00012B4B" w:rsidRPr="00012B4B" w:rsidRDefault="00012B4B" w:rsidP="00012B4B">
      <w:pPr>
        <w:pStyle w:val="Bibliography"/>
        <w:rPr>
          <w:lang w:val="en-US"/>
        </w:rPr>
      </w:pPr>
      <w:r w:rsidRPr="00012B4B">
        <w:rPr>
          <w:lang w:val="en-US"/>
        </w:rPr>
        <w:t>54.</w:t>
      </w:r>
      <w:r w:rsidRPr="00012B4B">
        <w:rPr>
          <w:lang w:val="en-US"/>
        </w:rPr>
        <w:tab/>
        <w:t xml:space="preserve">Yamagata, T., Mathis, D. &amp; Benoist, C. Self-reactivity in thymic double-positive cells commits cells to a CD8 alpha alpha lineage with characteristics of innate immune cells. </w:t>
      </w:r>
      <w:r w:rsidRPr="00012B4B">
        <w:rPr>
          <w:i/>
          <w:iCs/>
          <w:lang w:val="en-US"/>
        </w:rPr>
        <w:t>Nat. Immunol.</w:t>
      </w:r>
      <w:r w:rsidRPr="00012B4B">
        <w:rPr>
          <w:lang w:val="en-US"/>
        </w:rPr>
        <w:t xml:space="preserve"> </w:t>
      </w:r>
      <w:r w:rsidRPr="00012B4B">
        <w:rPr>
          <w:b/>
          <w:bCs/>
          <w:lang w:val="en-US"/>
        </w:rPr>
        <w:t>5</w:t>
      </w:r>
      <w:r w:rsidRPr="00012B4B">
        <w:rPr>
          <w:lang w:val="en-US"/>
        </w:rPr>
        <w:t>, 597–605 (2004).</w:t>
      </w:r>
    </w:p>
    <w:p w14:paraId="6463E48B" w14:textId="77777777" w:rsidR="00012B4B" w:rsidRPr="00012B4B" w:rsidRDefault="00012B4B" w:rsidP="00012B4B">
      <w:pPr>
        <w:pStyle w:val="Bibliography"/>
        <w:rPr>
          <w:lang w:val="en-US"/>
        </w:rPr>
      </w:pPr>
      <w:r w:rsidRPr="00012B4B">
        <w:rPr>
          <w:lang w:val="en-US"/>
        </w:rPr>
        <w:t>55.</w:t>
      </w:r>
      <w:r w:rsidRPr="00012B4B">
        <w:rPr>
          <w:lang w:val="en-US"/>
        </w:rPr>
        <w:tab/>
        <w:t xml:space="preserve">Irizarry, R. A. </w:t>
      </w:r>
      <w:r w:rsidRPr="00012B4B">
        <w:rPr>
          <w:i/>
          <w:iCs/>
          <w:lang w:val="en-US"/>
        </w:rPr>
        <w:t>et al.</w:t>
      </w:r>
      <w:r w:rsidRPr="00012B4B">
        <w:rPr>
          <w:lang w:val="en-US"/>
        </w:rPr>
        <w:t xml:space="preserve"> Summaries of Affymetrix GeneChip probe level data. </w:t>
      </w:r>
      <w:r w:rsidRPr="00012B4B">
        <w:rPr>
          <w:i/>
          <w:iCs/>
          <w:lang w:val="en-US"/>
        </w:rPr>
        <w:t>Nucleic Acids Res</w:t>
      </w:r>
      <w:r w:rsidRPr="00012B4B">
        <w:rPr>
          <w:lang w:val="en-US"/>
        </w:rPr>
        <w:t xml:space="preserve"> </w:t>
      </w:r>
      <w:r w:rsidRPr="00012B4B">
        <w:rPr>
          <w:b/>
          <w:bCs/>
          <w:lang w:val="en-US"/>
        </w:rPr>
        <w:t>31</w:t>
      </w:r>
      <w:r w:rsidRPr="00012B4B">
        <w:rPr>
          <w:lang w:val="en-US"/>
        </w:rPr>
        <w:t>, e15 (2003).</w:t>
      </w:r>
    </w:p>
    <w:p w14:paraId="674381E2" w14:textId="77777777" w:rsidR="00012B4B" w:rsidRPr="00012B4B" w:rsidRDefault="00012B4B" w:rsidP="00012B4B">
      <w:pPr>
        <w:pStyle w:val="Bibliography"/>
        <w:rPr>
          <w:lang w:val="en-US"/>
        </w:rPr>
      </w:pPr>
      <w:r w:rsidRPr="00012B4B">
        <w:rPr>
          <w:lang w:val="en-US"/>
        </w:rPr>
        <w:t>56.</w:t>
      </w:r>
      <w:r w:rsidRPr="00012B4B">
        <w:rPr>
          <w:lang w:val="en-US"/>
        </w:rPr>
        <w:tab/>
        <w:t xml:space="preserve">Reich, M. </w:t>
      </w:r>
      <w:r w:rsidRPr="00012B4B">
        <w:rPr>
          <w:i/>
          <w:iCs/>
          <w:lang w:val="en-US"/>
        </w:rPr>
        <w:t>et al.</w:t>
      </w:r>
      <w:r w:rsidRPr="00012B4B">
        <w:rPr>
          <w:lang w:val="en-US"/>
        </w:rPr>
        <w:t xml:space="preserve"> GenePattern 2.0. </w:t>
      </w:r>
      <w:r w:rsidRPr="00012B4B">
        <w:rPr>
          <w:i/>
          <w:iCs/>
          <w:lang w:val="en-US"/>
        </w:rPr>
        <w:t>Nat. Genet.</w:t>
      </w:r>
      <w:r w:rsidRPr="00012B4B">
        <w:rPr>
          <w:lang w:val="en-US"/>
        </w:rPr>
        <w:t xml:space="preserve"> </w:t>
      </w:r>
      <w:r w:rsidRPr="00012B4B">
        <w:rPr>
          <w:b/>
          <w:bCs/>
          <w:lang w:val="en-US"/>
        </w:rPr>
        <w:t>38</w:t>
      </w:r>
      <w:r w:rsidRPr="00012B4B">
        <w:rPr>
          <w:lang w:val="en-US"/>
        </w:rPr>
        <w:t>, 500–501 (2006).</w:t>
      </w:r>
    </w:p>
    <w:p w14:paraId="23DAAFB1" w14:textId="77777777" w:rsidR="00012B4B" w:rsidRPr="00012B4B" w:rsidRDefault="00012B4B" w:rsidP="00012B4B">
      <w:pPr>
        <w:pStyle w:val="Bibliography"/>
        <w:rPr>
          <w:lang w:val="en-US"/>
        </w:rPr>
      </w:pPr>
      <w:r w:rsidRPr="00012B4B">
        <w:rPr>
          <w:lang w:val="en-US"/>
        </w:rPr>
        <w:lastRenderedPageBreak/>
        <w:t>57.</w:t>
      </w:r>
      <w:r w:rsidRPr="00012B4B">
        <w:rPr>
          <w:lang w:val="en-US"/>
        </w:rPr>
        <w:tab/>
        <w:t xml:space="preserve">Subramanian, A. </w:t>
      </w:r>
      <w:r w:rsidRPr="00012B4B">
        <w:rPr>
          <w:i/>
          <w:iCs/>
          <w:lang w:val="en-US"/>
        </w:rPr>
        <w:t>et al.</w:t>
      </w:r>
      <w:r w:rsidRPr="00012B4B">
        <w:rPr>
          <w:lang w:val="en-US"/>
        </w:rPr>
        <w:t xml:space="preserve"> Gene set enrichment analysis: a knowledge-based approach for interpreting genome-wide expression profiles. </w:t>
      </w:r>
      <w:r w:rsidRPr="00012B4B">
        <w:rPr>
          <w:i/>
          <w:iCs/>
          <w:lang w:val="en-US"/>
        </w:rPr>
        <w:t>Proc. Natl. Acad. Sci. U.S.A.</w:t>
      </w:r>
      <w:r w:rsidRPr="00012B4B">
        <w:rPr>
          <w:lang w:val="en-US"/>
        </w:rPr>
        <w:t xml:space="preserve"> </w:t>
      </w:r>
      <w:r w:rsidRPr="00012B4B">
        <w:rPr>
          <w:b/>
          <w:bCs/>
          <w:lang w:val="en-US"/>
        </w:rPr>
        <w:t>102</w:t>
      </w:r>
      <w:r w:rsidRPr="00012B4B">
        <w:rPr>
          <w:lang w:val="en-US"/>
        </w:rPr>
        <w:t>, 15545–15550 (2005).</w:t>
      </w:r>
    </w:p>
    <w:p w14:paraId="1792E50E" w14:textId="77777777" w:rsidR="00012B4B" w:rsidRPr="00012B4B" w:rsidRDefault="00012B4B" w:rsidP="00012B4B">
      <w:pPr>
        <w:pStyle w:val="Bibliography"/>
        <w:rPr>
          <w:lang w:val="en-US"/>
        </w:rPr>
      </w:pPr>
      <w:r w:rsidRPr="00012B4B">
        <w:rPr>
          <w:lang w:val="en-US"/>
        </w:rPr>
        <w:t>58.</w:t>
      </w:r>
      <w:r w:rsidRPr="00012B4B">
        <w:rPr>
          <w:lang w:val="en-US"/>
        </w:rPr>
        <w:tab/>
        <w:t xml:space="preserve">Mootha, V. K. </w:t>
      </w:r>
      <w:r w:rsidRPr="00012B4B">
        <w:rPr>
          <w:i/>
          <w:iCs/>
          <w:lang w:val="en-US"/>
        </w:rPr>
        <w:t>et al.</w:t>
      </w:r>
      <w:r w:rsidRPr="00012B4B">
        <w:rPr>
          <w:lang w:val="en-US"/>
        </w:rPr>
        <w:t xml:space="preserve"> PGC-1alpha-responsive genes involved in oxidative phosphorylation are coordinately downregulated in human diabetes. </w:t>
      </w:r>
      <w:r w:rsidRPr="00012B4B">
        <w:rPr>
          <w:i/>
          <w:iCs/>
          <w:lang w:val="en-US"/>
        </w:rPr>
        <w:t>Nat. Genet.</w:t>
      </w:r>
      <w:r w:rsidRPr="00012B4B">
        <w:rPr>
          <w:lang w:val="en-US"/>
        </w:rPr>
        <w:t xml:space="preserve"> </w:t>
      </w:r>
      <w:r w:rsidRPr="00012B4B">
        <w:rPr>
          <w:b/>
          <w:bCs/>
          <w:lang w:val="en-US"/>
        </w:rPr>
        <w:t>34</w:t>
      </w:r>
      <w:r w:rsidRPr="00012B4B">
        <w:rPr>
          <w:lang w:val="en-US"/>
        </w:rPr>
        <w:t>, 267–273 (2003).</w:t>
      </w:r>
    </w:p>
    <w:p w14:paraId="2279D638" w14:textId="449DA4AF" w:rsidR="000D0525" w:rsidRPr="00D020B9" w:rsidRDefault="000D0525" w:rsidP="000D0525">
      <w:pPr>
        <w:spacing w:line="480" w:lineRule="auto"/>
        <w:jc w:val="both"/>
        <w:rPr>
          <w:rFonts w:ascii="Arial" w:hAnsi="Arial"/>
          <w:b/>
          <w:sz w:val="22"/>
          <w:szCs w:val="22"/>
          <w:lang w:val="en-US"/>
        </w:rPr>
      </w:pPr>
      <w:r>
        <w:rPr>
          <w:rFonts w:ascii="Arial" w:hAnsi="Arial"/>
          <w:b/>
          <w:sz w:val="22"/>
          <w:szCs w:val="22"/>
          <w:lang w:val="en-US"/>
        </w:rPr>
        <w:fldChar w:fldCharType="end"/>
      </w:r>
    </w:p>
    <w:p w14:paraId="371BD73E" w14:textId="77777777" w:rsidR="000D0525" w:rsidRDefault="000D0525" w:rsidP="000D0525"/>
    <w:p w14:paraId="7F7FDE6C" w14:textId="77777777" w:rsidR="00976692" w:rsidRPr="00504073" w:rsidRDefault="00976692" w:rsidP="004A7692">
      <w:pPr>
        <w:spacing w:line="480" w:lineRule="auto"/>
        <w:jc w:val="both"/>
        <w:rPr>
          <w:rFonts w:ascii="Arial" w:hAnsi="Arial"/>
          <w:sz w:val="20"/>
          <w:szCs w:val="20"/>
          <w:lang w:val="en-US"/>
        </w:rPr>
      </w:pPr>
    </w:p>
    <w:p w14:paraId="0B9D44B3" w14:textId="77777777" w:rsidR="00976692" w:rsidRPr="00D020B9" w:rsidRDefault="00976692" w:rsidP="005F4B72">
      <w:pPr>
        <w:spacing w:after="120" w:line="480" w:lineRule="auto"/>
        <w:jc w:val="both"/>
        <w:rPr>
          <w:rFonts w:ascii="Arial" w:hAnsi="Arial"/>
          <w:sz w:val="22"/>
          <w:szCs w:val="22"/>
          <w:lang w:val="en-US"/>
        </w:rPr>
      </w:pPr>
    </w:p>
    <w:p w14:paraId="2B614272" w14:textId="7C730001" w:rsidR="00976692" w:rsidRPr="00D020B9" w:rsidRDefault="00976692" w:rsidP="005F4B72">
      <w:pPr>
        <w:spacing w:after="120" w:line="480" w:lineRule="auto"/>
        <w:jc w:val="both"/>
        <w:rPr>
          <w:rFonts w:ascii="Arial" w:hAnsi="Arial" w:cs="Arial"/>
          <w:sz w:val="22"/>
          <w:szCs w:val="22"/>
          <w:lang w:val="en-US"/>
        </w:rPr>
      </w:pPr>
    </w:p>
    <w:sectPr w:rsidR="00976692" w:rsidRPr="00D020B9" w:rsidSect="00AA3A1B">
      <w:footerReference w:type="even" r:id="rId18"/>
      <w:footerReference w:type="default" r:id="rId19"/>
      <w:pgSz w:w="11900" w:h="16840"/>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C0176" w14:textId="77777777" w:rsidR="00F7220F" w:rsidRDefault="00F7220F" w:rsidP="00976692">
      <w:r>
        <w:separator/>
      </w:r>
    </w:p>
  </w:endnote>
  <w:endnote w:type="continuationSeparator" w:id="0">
    <w:p w14:paraId="6D44D7D2" w14:textId="77777777" w:rsidR="00F7220F" w:rsidRDefault="00F7220F" w:rsidP="0097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5797A" w14:textId="77777777" w:rsidR="004F4CBA" w:rsidRDefault="004F4CBA" w:rsidP="009766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020F72" w14:textId="77777777" w:rsidR="004F4CBA" w:rsidRDefault="004F4CBA" w:rsidP="009766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46654" w14:textId="3A23CE94" w:rsidR="004F4CBA" w:rsidRPr="002F2466" w:rsidRDefault="004F4CBA" w:rsidP="00976692">
    <w:pPr>
      <w:pStyle w:val="Footer"/>
      <w:framePr w:wrap="around" w:vAnchor="text" w:hAnchor="margin" w:xAlign="right" w:y="1"/>
      <w:rPr>
        <w:rStyle w:val="PageNumber"/>
      </w:rPr>
    </w:pPr>
    <w:r w:rsidRPr="002F2466">
      <w:rPr>
        <w:rStyle w:val="PageNumber"/>
        <w:rFonts w:ascii="Arial" w:hAnsi="Arial" w:cs="Arial"/>
        <w:sz w:val="20"/>
        <w:szCs w:val="20"/>
      </w:rPr>
      <w:fldChar w:fldCharType="begin"/>
    </w:r>
    <w:r w:rsidRPr="002F2466">
      <w:rPr>
        <w:rStyle w:val="PageNumber"/>
        <w:rFonts w:ascii="Arial" w:hAnsi="Arial" w:cs="Arial"/>
        <w:sz w:val="20"/>
        <w:szCs w:val="20"/>
      </w:rPr>
      <w:instrText xml:space="preserve">PAGE  </w:instrText>
    </w:r>
    <w:r w:rsidRPr="002F2466">
      <w:rPr>
        <w:rStyle w:val="PageNumber"/>
        <w:rFonts w:ascii="Arial" w:hAnsi="Arial" w:cs="Arial"/>
        <w:sz w:val="20"/>
        <w:szCs w:val="20"/>
      </w:rPr>
      <w:fldChar w:fldCharType="separate"/>
    </w:r>
    <w:r w:rsidR="003C3EC9">
      <w:rPr>
        <w:rStyle w:val="PageNumber"/>
        <w:rFonts w:ascii="Arial" w:hAnsi="Arial" w:cs="Arial"/>
        <w:noProof/>
        <w:sz w:val="20"/>
        <w:szCs w:val="20"/>
      </w:rPr>
      <w:t>2</w:t>
    </w:r>
    <w:r w:rsidRPr="002F2466">
      <w:rPr>
        <w:rStyle w:val="PageNumber"/>
        <w:rFonts w:ascii="Arial" w:hAnsi="Arial" w:cs="Arial"/>
        <w:sz w:val="20"/>
        <w:szCs w:val="20"/>
      </w:rPr>
      <w:fldChar w:fldCharType="end"/>
    </w:r>
  </w:p>
  <w:p w14:paraId="36668984" w14:textId="77777777" w:rsidR="004F4CBA" w:rsidRDefault="004F4CBA" w:rsidP="009766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8A381" w14:textId="77777777" w:rsidR="00F7220F" w:rsidRDefault="00F7220F" w:rsidP="00976692">
      <w:r>
        <w:separator/>
      </w:r>
    </w:p>
  </w:footnote>
  <w:footnote w:type="continuationSeparator" w:id="0">
    <w:p w14:paraId="5E72CBE5" w14:textId="77777777" w:rsidR="00F7220F" w:rsidRDefault="00F7220F" w:rsidP="009766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mmunit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2&lt;/SpaceAfter&gt;&lt;HyperlinksEnabled&gt;1&lt;/HyperlinksEnabled&gt;&lt;HyperlinksVisible&gt;0&lt;/HyperlinksVisible&gt;&lt;EnableBibliographyCategories&gt;0&lt;/EnableBibliographyCategories&gt;&lt;/ENLayout&gt;"/>
    <w:docVar w:name="EN.Libraries" w:val="&lt;Libraries&gt;&lt;item db-id=&quot;dxaver29oaz9x6eae9d5t5rwxz9spx5vzwdt&quot;&gt;130813 UVA Endnote&lt;record-ids&gt;&lt;item&gt;24&lt;/item&gt;&lt;item&gt;288&lt;/item&gt;&lt;item&gt;2360&lt;/item&gt;&lt;item&gt;3256&lt;/item&gt;&lt;item&gt;3377&lt;/item&gt;&lt;item&gt;4513&lt;/item&gt;&lt;item&gt;4762&lt;/item&gt;&lt;item&gt;4883&lt;/item&gt;&lt;item&gt;5098&lt;/item&gt;&lt;item&gt;5477&lt;/item&gt;&lt;item&gt;5497&lt;/item&gt;&lt;item&gt;5899&lt;/item&gt;&lt;item&gt;11688&lt;/item&gt;&lt;item&gt;13170&lt;/item&gt;&lt;item&gt;13679&lt;/item&gt;&lt;item&gt;14797&lt;/item&gt;&lt;item&gt;15005&lt;/item&gt;&lt;item&gt;15709&lt;/item&gt;&lt;item&gt;15825&lt;/item&gt;&lt;item&gt;16117&lt;/item&gt;&lt;item&gt;16353&lt;/item&gt;&lt;item&gt;16443&lt;/item&gt;&lt;item&gt;16519&lt;/item&gt;&lt;item&gt;16532&lt;/item&gt;&lt;item&gt;16629&lt;/item&gt;&lt;item&gt;16709&lt;/item&gt;&lt;item&gt;16871&lt;/item&gt;&lt;item&gt;17614&lt;/item&gt;&lt;item&gt;17638&lt;/item&gt;&lt;item&gt;17826&lt;/item&gt;&lt;item&gt;17831&lt;/item&gt;&lt;item&gt;17878&lt;/item&gt;&lt;item&gt;17941&lt;/item&gt;&lt;item&gt;17954&lt;/item&gt;&lt;item&gt;18163&lt;/item&gt;&lt;item&gt;18164&lt;/item&gt;&lt;item&gt;18165&lt;/item&gt;&lt;item&gt;18179&lt;/item&gt;&lt;item&gt;18308&lt;/item&gt;&lt;item&gt;18361&lt;/item&gt;&lt;item&gt;18487&lt;/item&gt;&lt;item&gt;19038&lt;/item&gt;&lt;item&gt;19776&lt;/item&gt;&lt;item&gt;20018&lt;/item&gt;&lt;item&gt;20632&lt;/item&gt;&lt;item&gt;20672&lt;/item&gt;&lt;item&gt;23574&lt;/item&gt;&lt;item&gt;23628&lt;/item&gt;&lt;item&gt;25569&lt;/item&gt;&lt;item&gt;26437&lt;/item&gt;&lt;item&gt;26440&lt;/item&gt;&lt;item&gt;26442&lt;/item&gt;&lt;item&gt;27419&lt;/item&gt;&lt;item&gt;27580&lt;/item&gt;&lt;item&gt;27581&lt;/item&gt;&lt;item&gt;27903&lt;/item&gt;&lt;item&gt;27904&lt;/item&gt;&lt;item&gt;27906&lt;/item&gt;&lt;item&gt;27907&lt;/item&gt;&lt;item&gt;27912&lt;/item&gt;&lt;item&gt;28752&lt;/item&gt;&lt;item&gt;28886&lt;/item&gt;&lt;item&gt;28900&lt;/item&gt;&lt;item&gt;28932&lt;/item&gt;&lt;item&gt;28947&lt;/item&gt;&lt;item&gt;28952&lt;/item&gt;&lt;item&gt;28971&lt;/item&gt;&lt;item&gt;28972&lt;/item&gt;&lt;item&gt;28974&lt;/item&gt;&lt;item&gt;28975&lt;/item&gt;&lt;item&gt;28976&lt;/item&gt;&lt;item&gt;29362&lt;/item&gt;&lt;/record-ids&gt;&lt;/item&gt;&lt;/Libraries&gt;"/>
  </w:docVars>
  <w:rsids>
    <w:rsidRoot w:val="00CA51F7"/>
    <w:rsid w:val="0000069F"/>
    <w:rsid w:val="00001B32"/>
    <w:rsid w:val="00003308"/>
    <w:rsid w:val="0000333C"/>
    <w:rsid w:val="000051FE"/>
    <w:rsid w:val="00006D12"/>
    <w:rsid w:val="00012B4B"/>
    <w:rsid w:val="00015A37"/>
    <w:rsid w:val="000169B3"/>
    <w:rsid w:val="00023310"/>
    <w:rsid w:val="0002710C"/>
    <w:rsid w:val="000305AB"/>
    <w:rsid w:val="00031398"/>
    <w:rsid w:val="00031530"/>
    <w:rsid w:val="0003321B"/>
    <w:rsid w:val="00033C37"/>
    <w:rsid w:val="00041043"/>
    <w:rsid w:val="00041EF9"/>
    <w:rsid w:val="00045F80"/>
    <w:rsid w:val="00053336"/>
    <w:rsid w:val="00054405"/>
    <w:rsid w:val="0005706D"/>
    <w:rsid w:val="00061A60"/>
    <w:rsid w:val="00061A6E"/>
    <w:rsid w:val="00061F14"/>
    <w:rsid w:val="00062741"/>
    <w:rsid w:val="00064204"/>
    <w:rsid w:val="00064BA9"/>
    <w:rsid w:val="00065FB9"/>
    <w:rsid w:val="00066982"/>
    <w:rsid w:val="0007394A"/>
    <w:rsid w:val="00074AC4"/>
    <w:rsid w:val="00076D30"/>
    <w:rsid w:val="00084E64"/>
    <w:rsid w:val="000861A0"/>
    <w:rsid w:val="00091F12"/>
    <w:rsid w:val="00097827"/>
    <w:rsid w:val="000A0EC4"/>
    <w:rsid w:val="000A6FC4"/>
    <w:rsid w:val="000B0197"/>
    <w:rsid w:val="000B0B25"/>
    <w:rsid w:val="000B3B63"/>
    <w:rsid w:val="000B43A7"/>
    <w:rsid w:val="000B491A"/>
    <w:rsid w:val="000B536D"/>
    <w:rsid w:val="000B6DDB"/>
    <w:rsid w:val="000C187C"/>
    <w:rsid w:val="000C336E"/>
    <w:rsid w:val="000C36E5"/>
    <w:rsid w:val="000C5858"/>
    <w:rsid w:val="000C7BCD"/>
    <w:rsid w:val="000D0525"/>
    <w:rsid w:val="000D122C"/>
    <w:rsid w:val="000D2373"/>
    <w:rsid w:val="000E18A4"/>
    <w:rsid w:val="000E30F0"/>
    <w:rsid w:val="000E32A8"/>
    <w:rsid w:val="000F4E54"/>
    <w:rsid w:val="00102B81"/>
    <w:rsid w:val="00103D67"/>
    <w:rsid w:val="001045D0"/>
    <w:rsid w:val="00110886"/>
    <w:rsid w:val="001152C4"/>
    <w:rsid w:val="00115510"/>
    <w:rsid w:val="00121924"/>
    <w:rsid w:val="0012271A"/>
    <w:rsid w:val="001253FC"/>
    <w:rsid w:val="001308FE"/>
    <w:rsid w:val="00130943"/>
    <w:rsid w:val="00135015"/>
    <w:rsid w:val="00135560"/>
    <w:rsid w:val="00136275"/>
    <w:rsid w:val="0014482A"/>
    <w:rsid w:val="001507C3"/>
    <w:rsid w:val="00151391"/>
    <w:rsid w:val="00152985"/>
    <w:rsid w:val="001608D1"/>
    <w:rsid w:val="001617F4"/>
    <w:rsid w:val="00163C8F"/>
    <w:rsid w:val="00170AD4"/>
    <w:rsid w:val="00172300"/>
    <w:rsid w:val="00175B05"/>
    <w:rsid w:val="00180D4A"/>
    <w:rsid w:val="00180D93"/>
    <w:rsid w:val="001838CA"/>
    <w:rsid w:val="00183B43"/>
    <w:rsid w:val="00184C46"/>
    <w:rsid w:val="00191B06"/>
    <w:rsid w:val="00192255"/>
    <w:rsid w:val="00195B7E"/>
    <w:rsid w:val="00196305"/>
    <w:rsid w:val="001A208C"/>
    <w:rsid w:val="001A4A54"/>
    <w:rsid w:val="001B34AF"/>
    <w:rsid w:val="001B4D22"/>
    <w:rsid w:val="001B5514"/>
    <w:rsid w:val="001B7BAF"/>
    <w:rsid w:val="001C15EF"/>
    <w:rsid w:val="001C205E"/>
    <w:rsid w:val="001C2623"/>
    <w:rsid w:val="001C3407"/>
    <w:rsid w:val="001C4315"/>
    <w:rsid w:val="001C75BA"/>
    <w:rsid w:val="001C7EAC"/>
    <w:rsid w:val="001D060C"/>
    <w:rsid w:val="001D2326"/>
    <w:rsid w:val="001E22DF"/>
    <w:rsid w:val="001E2BB1"/>
    <w:rsid w:val="001F1CDC"/>
    <w:rsid w:val="0020260A"/>
    <w:rsid w:val="0020585C"/>
    <w:rsid w:val="00205BC4"/>
    <w:rsid w:val="00210612"/>
    <w:rsid w:val="00214188"/>
    <w:rsid w:val="00215265"/>
    <w:rsid w:val="00223BD5"/>
    <w:rsid w:val="0023280B"/>
    <w:rsid w:val="0023491E"/>
    <w:rsid w:val="00241DFD"/>
    <w:rsid w:val="00244A43"/>
    <w:rsid w:val="002461CB"/>
    <w:rsid w:val="002479A8"/>
    <w:rsid w:val="00253531"/>
    <w:rsid w:val="002600AD"/>
    <w:rsid w:val="00261209"/>
    <w:rsid w:val="00265831"/>
    <w:rsid w:val="00266F26"/>
    <w:rsid w:val="002717F9"/>
    <w:rsid w:val="00277152"/>
    <w:rsid w:val="00284EF4"/>
    <w:rsid w:val="00294BC9"/>
    <w:rsid w:val="00295C0C"/>
    <w:rsid w:val="002963F8"/>
    <w:rsid w:val="00297FCA"/>
    <w:rsid w:val="002A1415"/>
    <w:rsid w:val="002A1512"/>
    <w:rsid w:val="002A4942"/>
    <w:rsid w:val="002A53DA"/>
    <w:rsid w:val="002A5F62"/>
    <w:rsid w:val="002A694C"/>
    <w:rsid w:val="002B013E"/>
    <w:rsid w:val="002B0C20"/>
    <w:rsid w:val="002B5526"/>
    <w:rsid w:val="002B7AFE"/>
    <w:rsid w:val="002C219E"/>
    <w:rsid w:val="002C47A4"/>
    <w:rsid w:val="002D2357"/>
    <w:rsid w:val="002D7D71"/>
    <w:rsid w:val="002E36F8"/>
    <w:rsid w:val="002E3B90"/>
    <w:rsid w:val="002E4ADA"/>
    <w:rsid w:val="002F0A2A"/>
    <w:rsid w:val="002F1E0D"/>
    <w:rsid w:val="002F7F0B"/>
    <w:rsid w:val="00300F51"/>
    <w:rsid w:val="00301623"/>
    <w:rsid w:val="00303662"/>
    <w:rsid w:val="00306219"/>
    <w:rsid w:val="0030735B"/>
    <w:rsid w:val="00310C09"/>
    <w:rsid w:val="00311F51"/>
    <w:rsid w:val="0031307F"/>
    <w:rsid w:val="003131FC"/>
    <w:rsid w:val="003159CB"/>
    <w:rsid w:val="00315BD1"/>
    <w:rsid w:val="0032482F"/>
    <w:rsid w:val="003257C7"/>
    <w:rsid w:val="003333C4"/>
    <w:rsid w:val="00334E73"/>
    <w:rsid w:val="00335063"/>
    <w:rsid w:val="00335408"/>
    <w:rsid w:val="0033678E"/>
    <w:rsid w:val="00336998"/>
    <w:rsid w:val="00340472"/>
    <w:rsid w:val="00340729"/>
    <w:rsid w:val="00341831"/>
    <w:rsid w:val="00350DD2"/>
    <w:rsid w:val="003524F5"/>
    <w:rsid w:val="003529AE"/>
    <w:rsid w:val="003537F3"/>
    <w:rsid w:val="00356E30"/>
    <w:rsid w:val="00364D4B"/>
    <w:rsid w:val="00375748"/>
    <w:rsid w:val="00376B3C"/>
    <w:rsid w:val="00380CF0"/>
    <w:rsid w:val="00384241"/>
    <w:rsid w:val="0038441D"/>
    <w:rsid w:val="00386F67"/>
    <w:rsid w:val="00387C68"/>
    <w:rsid w:val="00390B04"/>
    <w:rsid w:val="0039486A"/>
    <w:rsid w:val="00394E05"/>
    <w:rsid w:val="003A051D"/>
    <w:rsid w:val="003A1DCA"/>
    <w:rsid w:val="003A7C8F"/>
    <w:rsid w:val="003B285E"/>
    <w:rsid w:val="003B40B6"/>
    <w:rsid w:val="003B7778"/>
    <w:rsid w:val="003C0408"/>
    <w:rsid w:val="003C05C8"/>
    <w:rsid w:val="003C0B3E"/>
    <w:rsid w:val="003C3EC9"/>
    <w:rsid w:val="003C6397"/>
    <w:rsid w:val="003D3A4E"/>
    <w:rsid w:val="003D40B7"/>
    <w:rsid w:val="003F17B2"/>
    <w:rsid w:val="003F2609"/>
    <w:rsid w:val="003F2AE5"/>
    <w:rsid w:val="003F3672"/>
    <w:rsid w:val="003F502A"/>
    <w:rsid w:val="003F789F"/>
    <w:rsid w:val="00401F2B"/>
    <w:rsid w:val="00406361"/>
    <w:rsid w:val="0040767D"/>
    <w:rsid w:val="00416233"/>
    <w:rsid w:val="004168A6"/>
    <w:rsid w:val="00420CA7"/>
    <w:rsid w:val="004222D4"/>
    <w:rsid w:val="00423EC0"/>
    <w:rsid w:val="0043160E"/>
    <w:rsid w:val="0043362D"/>
    <w:rsid w:val="00433FFA"/>
    <w:rsid w:val="00441EEA"/>
    <w:rsid w:val="004438C8"/>
    <w:rsid w:val="00443D40"/>
    <w:rsid w:val="00444D34"/>
    <w:rsid w:val="0044782A"/>
    <w:rsid w:val="00452D4C"/>
    <w:rsid w:val="004563D5"/>
    <w:rsid w:val="004579E1"/>
    <w:rsid w:val="0046530A"/>
    <w:rsid w:val="00472BFE"/>
    <w:rsid w:val="00472DE0"/>
    <w:rsid w:val="00475608"/>
    <w:rsid w:val="00476D0D"/>
    <w:rsid w:val="004770A2"/>
    <w:rsid w:val="00477215"/>
    <w:rsid w:val="00482606"/>
    <w:rsid w:val="00485480"/>
    <w:rsid w:val="00491BF9"/>
    <w:rsid w:val="00492C89"/>
    <w:rsid w:val="004950C6"/>
    <w:rsid w:val="004972BA"/>
    <w:rsid w:val="004A0362"/>
    <w:rsid w:val="004A1827"/>
    <w:rsid w:val="004A3C1A"/>
    <w:rsid w:val="004A415E"/>
    <w:rsid w:val="004A6C19"/>
    <w:rsid w:val="004A7692"/>
    <w:rsid w:val="004B4851"/>
    <w:rsid w:val="004B49D5"/>
    <w:rsid w:val="004B6210"/>
    <w:rsid w:val="004C049A"/>
    <w:rsid w:val="004C121C"/>
    <w:rsid w:val="004C3393"/>
    <w:rsid w:val="004C478B"/>
    <w:rsid w:val="004C649D"/>
    <w:rsid w:val="004C7766"/>
    <w:rsid w:val="004D003F"/>
    <w:rsid w:val="004D1927"/>
    <w:rsid w:val="004D42F0"/>
    <w:rsid w:val="004D5C5F"/>
    <w:rsid w:val="004D6326"/>
    <w:rsid w:val="004E2A74"/>
    <w:rsid w:val="004E3FD9"/>
    <w:rsid w:val="004F2EC0"/>
    <w:rsid w:val="004F3C77"/>
    <w:rsid w:val="004F4CBA"/>
    <w:rsid w:val="00504073"/>
    <w:rsid w:val="00513516"/>
    <w:rsid w:val="00517776"/>
    <w:rsid w:val="00517B7B"/>
    <w:rsid w:val="0052156E"/>
    <w:rsid w:val="00526747"/>
    <w:rsid w:val="00526EA7"/>
    <w:rsid w:val="005274C0"/>
    <w:rsid w:val="00530620"/>
    <w:rsid w:val="00532CF9"/>
    <w:rsid w:val="00533E7F"/>
    <w:rsid w:val="00536CBA"/>
    <w:rsid w:val="00536E8E"/>
    <w:rsid w:val="005416FD"/>
    <w:rsid w:val="0054690B"/>
    <w:rsid w:val="0055177B"/>
    <w:rsid w:val="00556072"/>
    <w:rsid w:val="0055794D"/>
    <w:rsid w:val="005600C9"/>
    <w:rsid w:val="00560A26"/>
    <w:rsid w:val="005657DF"/>
    <w:rsid w:val="0056786A"/>
    <w:rsid w:val="0057095C"/>
    <w:rsid w:val="00582C16"/>
    <w:rsid w:val="0058400A"/>
    <w:rsid w:val="00585A3F"/>
    <w:rsid w:val="00590064"/>
    <w:rsid w:val="005942E6"/>
    <w:rsid w:val="005A5C7F"/>
    <w:rsid w:val="005B2020"/>
    <w:rsid w:val="005B3098"/>
    <w:rsid w:val="005B3273"/>
    <w:rsid w:val="005B5159"/>
    <w:rsid w:val="005B7AC9"/>
    <w:rsid w:val="005C1DE7"/>
    <w:rsid w:val="005C253D"/>
    <w:rsid w:val="005C4315"/>
    <w:rsid w:val="005C4A0C"/>
    <w:rsid w:val="005C4BE3"/>
    <w:rsid w:val="005D0846"/>
    <w:rsid w:val="005D4097"/>
    <w:rsid w:val="005D52A8"/>
    <w:rsid w:val="005D6226"/>
    <w:rsid w:val="005E0EDD"/>
    <w:rsid w:val="005E17EC"/>
    <w:rsid w:val="005E3A2B"/>
    <w:rsid w:val="005E5C4B"/>
    <w:rsid w:val="005E64FE"/>
    <w:rsid w:val="005F4AF7"/>
    <w:rsid w:val="005F4B72"/>
    <w:rsid w:val="005F5607"/>
    <w:rsid w:val="005F6967"/>
    <w:rsid w:val="00604C0D"/>
    <w:rsid w:val="00605C86"/>
    <w:rsid w:val="006103A9"/>
    <w:rsid w:val="006110F2"/>
    <w:rsid w:val="00615C66"/>
    <w:rsid w:val="00616BD8"/>
    <w:rsid w:val="00616C9D"/>
    <w:rsid w:val="00624E4C"/>
    <w:rsid w:val="00627BA5"/>
    <w:rsid w:val="00630C22"/>
    <w:rsid w:val="00630F6E"/>
    <w:rsid w:val="00630FD5"/>
    <w:rsid w:val="006311E8"/>
    <w:rsid w:val="00634006"/>
    <w:rsid w:val="00634D47"/>
    <w:rsid w:val="006361C8"/>
    <w:rsid w:val="0064128B"/>
    <w:rsid w:val="00647F6A"/>
    <w:rsid w:val="006505DE"/>
    <w:rsid w:val="00653881"/>
    <w:rsid w:val="006626B3"/>
    <w:rsid w:val="006640EE"/>
    <w:rsid w:val="006644FE"/>
    <w:rsid w:val="00664825"/>
    <w:rsid w:val="006733BC"/>
    <w:rsid w:val="006733CB"/>
    <w:rsid w:val="00681B02"/>
    <w:rsid w:val="0068250E"/>
    <w:rsid w:val="00684934"/>
    <w:rsid w:val="00687AB8"/>
    <w:rsid w:val="00694CB3"/>
    <w:rsid w:val="0069753D"/>
    <w:rsid w:val="006A56C9"/>
    <w:rsid w:val="006A7EBB"/>
    <w:rsid w:val="006B07B2"/>
    <w:rsid w:val="006B765C"/>
    <w:rsid w:val="006D1734"/>
    <w:rsid w:val="006D2F01"/>
    <w:rsid w:val="006E1348"/>
    <w:rsid w:val="006E7740"/>
    <w:rsid w:val="006F1D1C"/>
    <w:rsid w:val="006F48C8"/>
    <w:rsid w:val="006F4A80"/>
    <w:rsid w:val="007018F0"/>
    <w:rsid w:val="007044C6"/>
    <w:rsid w:val="0070777F"/>
    <w:rsid w:val="007117AE"/>
    <w:rsid w:val="007152B3"/>
    <w:rsid w:val="00716F47"/>
    <w:rsid w:val="00717576"/>
    <w:rsid w:val="00721ED1"/>
    <w:rsid w:val="007236E6"/>
    <w:rsid w:val="00726B8A"/>
    <w:rsid w:val="00732442"/>
    <w:rsid w:val="007324F6"/>
    <w:rsid w:val="00741170"/>
    <w:rsid w:val="007436A2"/>
    <w:rsid w:val="00744A41"/>
    <w:rsid w:val="00752236"/>
    <w:rsid w:val="00752B56"/>
    <w:rsid w:val="007530FF"/>
    <w:rsid w:val="007534B9"/>
    <w:rsid w:val="00754B7E"/>
    <w:rsid w:val="0075600F"/>
    <w:rsid w:val="007569B7"/>
    <w:rsid w:val="00763C01"/>
    <w:rsid w:val="00763FCD"/>
    <w:rsid w:val="00766AFA"/>
    <w:rsid w:val="007674F4"/>
    <w:rsid w:val="0077301D"/>
    <w:rsid w:val="00774486"/>
    <w:rsid w:val="00776956"/>
    <w:rsid w:val="00781DEF"/>
    <w:rsid w:val="0078454D"/>
    <w:rsid w:val="00795133"/>
    <w:rsid w:val="007951D1"/>
    <w:rsid w:val="007965DF"/>
    <w:rsid w:val="007A405F"/>
    <w:rsid w:val="007A70A8"/>
    <w:rsid w:val="007B12E3"/>
    <w:rsid w:val="007B2263"/>
    <w:rsid w:val="007B688A"/>
    <w:rsid w:val="007C0FA1"/>
    <w:rsid w:val="007C172C"/>
    <w:rsid w:val="007C2219"/>
    <w:rsid w:val="007C7765"/>
    <w:rsid w:val="007D45D1"/>
    <w:rsid w:val="007D46D4"/>
    <w:rsid w:val="007D5DBD"/>
    <w:rsid w:val="007E22AD"/>
    <w:rsid w:val="007E58EB"/>
    <w:rsid w:val="007E6824"/>
    <w:rsid w:val="007E6DA1"/>
    <w:rsid w:val="007F2EA4"/>
    <w:rsid w:val="007F34BA"/>
    <w:rsid w:val="007F469B"/>
    <w:rsid w:val="007F481B"/>
    <w:rsid w:val="007F77DF"/>
    <w:rsid w:val="008027A0"/>
    <w:rsid w:val="008033EB"/>
    <w:rsid w:val="00804FA5"/>
    <w:rsid w:val="0080603B"/>
    <w:rsid w:val="008116FE"/>
    <w:rsid w:val="00813952"/>
    <w:rsid w:val="008177FE"/>
    <w:rsid w:val="0082528E"/>
    <w:rsid w:val="008332CF"/>
    <w:rsid w:val="0083376E"/>
    <w:rsid w:val="0084010E"/>
    <w:rsid w:val="00850A40"/>
    <w:rsid w:val="008513BD"/>
    <w:rsid w:val="00857AA8"/>
    <w:rsid w:val="00862B55"/>
    <w:rsid w:val="008701C7"/>
    <w:rsid w:val="0087206B"/>
    <w:rsid w:val="00873260"/>
    <w:rsid w:val="0087678A"/>
    <w:rsid w:val="00881B3C"/>
    <w:rsid w:val="00882AFB"/>
    <w:rsid w:val="00885001"/>
    <w:rsid w:val="008900F8"/>
    <w:rsid w:val="008A358C"/>
    <w:rsid w:val="008A3941"/>
    <w:rsid w:val="008B142C"/>
    <w:rsid w:val="008B14CD"/>
    <w:rsid w:val="008B32F0"/>
    <w:rsid w:val="008C1388"/>
    <w:rsid w:val="008C180D"/>
    <w:rsid w:val="008C7D93"/>
    <w:rsid w:val="008D2396"/>
    <w:rsid w:val="008D6203"/>
    <w:rsid w:val="008E1B47"/>
    <w:rsid w:val="008F0BA7"/>
    <w:rsid w:val="008F15F9"/>
    <w:rsid w:val="008F1CF4"/>
    <w:rsid w:val="008F1DB0"/>
    <w:rsid w:val="00900C2B"/>
    <w:rsid w:val="00904295"/>
    <w:rsid w:val="009110B2"/>
    <w:rsid w:val="00911ACD"/>
    <w:rsid w:val="009163DB"/>
    <w:rsid w:val="00917095"/>
    <w:rsid w:val="00917AD6"/>
    <w:rsid w:val="00921E49"/>
    <w:rsid w:val="00930B4C"/>
    <w:rsid w:val="00940F9D"/>
    <w:rsid w:val="009413A6"/>
    <w:rsid w:val="0095460B"/>
    <w:rsid w:val="009557B0"/>
    <w:rsid w:val="009569FF"/>
    <w:rsid w:val="00962552"/>
    <w:rsid w:val="00964413"/>
    <w:rsid w:val="00964CF8"/>
    <w:rsid w:val="00966543"/>
    <w:rsid w:val="00966DE9"/>
    <w:rsid w:val="00972067"/>
    <w:rsid w:val="00976692"/>
    <w:rsid w:val="0098227D"/>
    <w:rsid w:val="00985006"/>
    <w:rsid w:val="00991D4F"/>
    <w:rsid w:val="009932DD"/>
    <w:rsid w:val="00995E94"/>
    <w:rsid w:val="009A0870"/>
    <w:rsid w:val="009A1097"/>
    <w:rsid w:val="009B2450"/>
    <w:rsid w:val="009B486F"/>
    <w:rsid w:val="009B62C9"/>
    <w:rsid w:val="009C1069"/>
    <w:rsid w:val="009C1FF8"/>
    <w:rsid w:val="009C3927"/>
    <w:rsid w:val="009C619A"/>
    <w:rsid w:val="009D662B"/>
    <w:rsid w:val="009D6CDA"/>
    <w:rsid w:val="009D7013"/>
    <w:rsid w:val="009E2A0D"/>
    <w:rsid w:val="009E3076"/>
    <w:rsid w:val="009F0AE7"/>
    <w:rsid w:val="009F26A5"/>
    <w:rsid w:val="009F4419"/>
    <w:rsid w:val="009F6BEA"/>
    <w:rsid w:val="00A00BB6"/>
    <w:rsid w:val="00A058D3"/>
    <w:rsid w:val="00A10ABA"/>
    <w:rsid w:val="00A22F47"/>
    <w:rsid w:val="00A241B1"/>
    <w:rsid w:val="00A27B25"/>
    <w:rsid w:val="00A303C2"/>
    <w:rsid w:val="00A34885"/>
    <w:rsid w:val="00A42F4F"/>
    <w:rsid w:val="00A44A1D"/>
    <w:rsid w:val="00A50199"/>
    <w:rsid w:val="00A5322F"/>
    <w:rsid w:val="00A57410"/>
    <w:rsid w:val="00A601F3"/>
    <w:rsid w:val="00A62691"/>
    <w:rsid w:val="00A675A5"/>
    <w:rsid w:val="00A76869"/>
    <w:rsid w:val="00A77C35"/>
    <w:rsid w:val="00A77F31"/>
    <w:rsid w:val="00A8520C"/>
    <w:rsid w:val="00A859DF"/>
    <w:rsid w:val="00A8653D"/>
    <w:rsid w:val="00A87C82"/>
    <w:rsid w:val="00A91DF8"/>
    <w:rsid w:val="00AA1E14"/>
    <w:rsid w:val="00AA3A1B"/>
    <w:rsid w:val="00AA63C5"/>
    <w:rsid w:val="00AB06A0"/>
    <w:rsid w:val="00AB1426"/>
    <w:rsid w:val="00AB19F6"/>
    <w:rsid w:val="00AB32C6"/>
    <w:rsid w:val="00AC06C2"/>
    <w:rsid w:val="00AC3E79"/>
    <w:rsid w:val="00AD1F22"/>
    <w:rsid w:val="00AE13EF"/>
    <w:rsid w:val="00AE23C9"/>
    <w:rsid w:val="00AF6972"/>
    <w:rsid w:val="00AF7142"/>
    <w:rsid w:val="00B05D7B"/>
    <w:rsid w:val="00B11853"/>
    <w:rsid w:val="00B134B4"/>
    <w:rsid w:val="00B13970"/>
    <w:rsid w:val="00B171BF"/>
    <w:rsid w:val="00B1787C"/>
    <w:rsid w:val="00B2040C"/>
    <w:rsid w:val="00B2279F"/>
    <w:rsid w:val="00B2290C"/>
    <w:rsid w:val="00B271A5"/>
    <w:rsid w:val="00B276D5"/>
    <w:rsid w:val="00B33CFD"/>
    <w:rsid w:val="00B367D6"/>
    <w:rsid w:val="00B36903"/>
    <w:rsid w:val="00B36F6E"/>
    <w:rsid w:val="00B43DD0"/>
    <w:rsid w:val="00B44805"/>
    <w:rsid w:val="00B44B96"/>
    <w:rsid w:val="00B47B52"/>
    <w:rsid w:val="00B625EA"/>
    <w:rsid w:val="00B64AAC"/>
    <w:rsid w:val="00B66B01"/>
    <w:rsid w:val="00B75E88"/>
    <w:rsid w:val="00B7798D"/>
    <w:rsid w:val="00B80CC8"/>
    <w:rsid w:val="00B84707"/>
    <w:rsid w:val="00B84E9A"/>
    <w:rsid w:val="00B902D4"/>
    <w:rsid w:val="00B9150D"/>
    <w:rsid w:val="00B920CF"/>
    <w:rsid w:val="00B92631"/>
    <w:rsid w:val="00B95DDA"/>
    <w:rsid w:val="00BA07BC"/>
    <w:rsid w:val="00BA0ED7"/>
    <w:rsid w:val="00BA6288"/>
    <w:rsid w:val="00BB16AF"/>
    <w:rsid w:val="00BB1ED4"/>
    <w:rsid w:val="00BC5053"/>
    <w:rsid w:val="00BC623E"/>
    <w:rsid w:val="00BD3621"/>
    <w:rsid w:val="00BD5ACA"/>
    <w:rsid w:val="00BD6732"/>
    <w:rsid w:val="00BE0383"/>
    <w:rsid w:val="00BE3CFD"/>
    <w:rsid w:val="00BE61D8"/>
    <w:rsid w:val="00BF459E"/>
    <w:rsid w:val="00C00228"/>
    <w:rsid w:val="00C019A0"/>
    <w:rsid w:val="00C05657"/>
    <w:rsid w:val="00C05E17"/>
    <w:rsid w:val="00C1658E"/>
    <w:rsid w:val="00C210FE"/>
    <w:rsid w:val="00C2561A"/>
    <w:rsid w:val="00C3102A"/>
    <w:rsid w:val="00C33FCB"/>
    <w:rsid w:val="00C56BF6"/>
    <w:rsid w:val="00C5771E"/>
    <w:rsid w:val="00C6124A"/>
    <w:rsid w:val="00C63928"/>
    <w:rsid w:val="00C63B4D"/>
    <w:rsid w:val="00C6775F"/>
    <w:rsid w:val="00C71A29"/>
    <w:rsid w:val="00C71D81"/>
    <w:rsid w:val="00C7612B"/>
    <w:rsid w:val="00C774CD"/>
    <w:rsid w:val="00C809E7"/>
    <w:rsid w:val="00C80CCF"/>
    <w:rsid w:val="00C80FE9"/>
    <w:rsid w:val="00C8696A"/>
    <w:rsid w:val="00C93564"/>
    <w:rsid w:val="00C978BE"/>
    <w:rsid w:val="00CA5151"/>
    <w:rsid w:val="00CA51F7"/>
    <w:rsid w:val="00CB049D"/>
    <w:rsid w:val="00CB1060"/>
    <w:rsid w:val="00CB3743"/>
    <w:rsid w:val="00CB3C00"/>
    <w:rsid w:val="00CB503F"/>
    <w:rsid w:val="00CB511F"/>
    <w:rsid w:val="00CD138D"/>
    <w:rsid w:val="00CD3E08"/>
    <w:rsid w:val="00CD5967"/>
    <w:rsid w:val="00CD70FD"/>
    <w:rsid w:val="00CD75B4"/>
    <w:rsid w:val="00CD75C1"/>
    <w:rsid w:val="00CD7FA0"/>
    <w:rsid w:val="00CE04AD"/>
    <w:rsid w:val="00CE34F3"/>
    <w:rsid w:val="00CE6535"/>
    <w:rsid w:val="00CE7165"/>
    <w:rsid w:val="00CF13D8"/>
    <w:rsid w:val="00CF7FC5"/>
    <w:rsid w:val="00D020B9"/>
    <w:rsid w:val="00D025E9"/>
    <w:rsid w:val="00D02DCD"/>
    <w:rsid w:val="00D0366A"/>
    <w:rsid w:val="00D05D95"/>
    <w:rsid w:val="00D14852"/>
    <w:rsid w:val="00D20E28"/>
    <w:rsid w:val="00D25D1F"/>
    <w:rsid w:val="00D26ACD"/>
    <w:rsid w:val="00D270F3"/>
    <w:rsid w:val="00D3060F"/>
    <w:rsid w:val="00D30673"/>
    <w:rsid w:val="00D32F90"/>
    <w:rsid w:val="00D35135"/>
    <w:rsid w:val="00D42E37"/>
    <w:rsid w:val="00D447A3"/>
    <w:rsid w:val="00D45439"/>
    <w:rsid w:val="00D501AE"/>
    <w:rsid w:val="00D50370"/>
    <w:rsid w:val="00D54CE4"/>
    <w:rsid w:val="00D563BC"/>
    <w:rsid w:val="00D621D3"/>
    <w:rsid w:val="00D63461"/>
    <w:rsid w:val="00D63A94"/>
    <w:rsid w:val="00D655A0"/>
    <w:rsid w:val="00D725DA"/>
    <w:rsid w:val="00D75998"/>
    <w:rsid w:val="00D77118"/>
    <w:rsid w:val="00D825A5"/>
    <w:rsid w:val="00D85747"/>
    <w:rsid w:val="00D85C26"/>
    <w:rsid w:val="00D868EA"/>
    <w:rsid w:val="00D97CFF"/>
    <w:rsid w:val="00DA2ADC"/>
    <w:rsid w:val="00DA52B4"/>
    <w:rsid w:val="00DA71EB"/>
    <w:rsid w:val="00DB654C"/>
    <w:rsid w:val="00DB6B06"/>
    <w:rsid w:val="00DC52FF"/>
    <w:rsid w:val="00DD1CC5"/>
    <w:rsid w:val="00DE0D80"/>
    <w:rsid w:val="00DE7EB4"/>
    <w:rsid w:val="00DF0CDC"/>
    <w:rsid w:val="00DF1152"/>
    <w:rsid w:val="00E0179F"/>
    <w:rsid w:val="00E01FDA"/>
    <w:rsid w:val="00E02B21"/>
    <w:rsid w:val="00E03BC2"/>
    <w:rsid w:val="00E04692"/>
    <w:rsid w:val="00E10FD2"/>
    <w:rsid w:val="00E14FA8"/>
    <w:rsid w:val="00E155AB"/>
    <w:rsid w:val="00E16FE0"/>
    <w:rsid w:val="00E171A6"/>
    <w:rsid w:val="00E22A85"/>
    <w:rsid w:val="00E237C3"/>
    <w:rsid w:val="00E257F6"/>
    <w:rsid w:val="00E32859"/>
    <w:rsid w:val="00E35721"/>
    <w:rsid w:val="00E37713"/>
    <w:rsid w:val="00E404D6"/>
    <w:rsid w:val="00E44DD7"/>
    <w:rsid w:val="00E451F5"/>
    <w:rsid w:val="00E45FE4"/>
    <w:rsid w:val="00E5279B"/>
    <w:rsid w:val="00E52FAB"/>
    <w:rsid w:val="00E5592D"/>
    <w:rsid w:val="00E55956"/>
    <w:rsid w:val="00E576B3"/>
    <w:rsid w:val="00E611CC"/>
    <w:rsid w:val="00E61327"/>
    <w:rsid w:val="00E61AEA"/>
    <w:rsid w:val="00E65B41"/>
    <w:rsid w:val="00E718D5"/>
    <w:rsid w:val="00E80B2E"/>
    <w:rsid w:val="00E8219F"/>
    <w:rsid w:val="00E83CBA"/>
    <w:rsid w:val="00E85F4F"/>
    <w:rsid w:val="00E907AC"/>
    <w:rsid w:val="00E9428B"/>
    <w:rsid w:val="00E955B7"/>
    <w:rsid w:val="00EA2509"/>
    <w:rsid w:val="00EA71C1"/>
    <w:rsid w:val="00EA7D7F"/>
    <w:rsid w:val="00EA7E21"/>
    <w:rsid w:val="00EB273A"/>
    <w:rsid w:val="00EB392F"/>
    <w:rsid w:val="00EB57B3"/>
    <w:rsid w:val="00EC0533"/>
    <w:rsid w:val="00EC33E8"/>
    <w:rsid w:val="00EC4413"/>
    <w:rsid w:val="00EC4B1E"/>
    <w:rsid w:val="00EC5973"/>
    <w:rsid w:val="00EC6157"/>
    <w:rsid w:val="00ED088D"/>
    <w:rsid w:val="00ED126F"/>
    <w:rsid w:val="00ED2152"/>
    <w:rsid w:val="00ED4876"/>
    <w:rsid w:val="00ED4BE7"/>
    <w:rsid w:val="00ED55F5"/>
    <w:rsid w:val="00ED73BC"/>
    <w:rsid w:val="00EE2C7E"/>
    <w:rsid w:val="00EE3DC6"/>
    <w:rsid w:val="00EF04D5"/>
    <w:rsid w:val="00EF71C3"/>
    <w:rsid w:val="00F03C7F"/>
    <w:rsid w:val="00F04024"/>
    <w:rsid w:val="00F05D80"/>
    <w:rsid w:val="00F16288"/>
    <w:rsid w:val="00F1702C"/>
    <w:rsid w:val="00F1732D"/>
    <w:rsid w:val="00F22C41"/>
    <w:rsid w:val="00F30BF2"/>
    <w:rsid w:val="00F34EE3"/>
    <w:rsid w:val="00F41B74"/>
    <w:rsid w:val="00F42E35"/>
    <w:rsid w:val="00F521C1"/>
    <w:rsid w:val="00F635D4"/>
    <w:rsid w:val="00F7220F"/>
    <w:rsid w:val="00F72442"/>
    <w:rsid w:val="00F73D50"/>
    <w:rsid w:val="00F83487"/>
    <w:rsid w:val="00F86E4C"/>
    <w:rsid w:val="00F86E86"/>
    <w:rsid w:val="00F923C4"/>
    <w:rsid w:val="00F958BB"/>
    <w:rsid w:val="00F97405"/>
    <w:rsid w:val="00FA044F"/>
    <w:rsid w:val="00FA779F"/>
    <w:rsid w:val="00FA7E78"/>
    <w:rsid w:val="00FB4D36"/>
    <w:rsid w:val="00FC3D82"/>
    <w:rsid w:val="00FC5CA7"/>
    <w:rsid w:val="00FC6149"/>
    <w:rsid w:val="00FD2FA5"/>
    <w:rsid w:val="00FD3799"/>
    <w:rsid w:val="00FD478B"/>
    <w:rsid w:val="00FD7101"/>
    <w:rsid w:val="00FE142E"/>
    <w:rsid w:val="00FE16D7"/>
    <w:rsid w:val="00FE32BE"/>
    <w:rsid w:val="00FE6EC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FD72BA"/>
  <w15:docId w15:val="{1AC1CACA-73FB-DE44-B8AA-4A0F0D27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5D0"/>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2805"/>
    <w:rPr>
      <w:color w:val="0000FF" w:themeColor="hyperlink"/>
      <w:u w:val="single"/>
    </w:rPr>
  </w:style>
  <w:style w:type="paragraph" w:styleId="Footer">
    <w:name w:val="footer"/>
    <w:basedOn w:val="Normal"/>
    <w:link w:val="FooterChar"/>
    <w:uiPriority w:val="99"/>
    <w:unhideWhenUsed/>
    <w:rsid w:val="00233A8A"/>
    <w:pPr>
      <w:tabs>
        <w:tab w:val="center" w:pos="4703"/>
        <w:tab w:val="right" w:pos="9406"/>
      </w:tabs>
    </w:pPr>
  </w:style>
  <w:style w:type="character" w:customStyle="1" w:styleId="FooterChar">
    <w:name w:val="Footer Char"/>
    <w:basedOn w:val="DefaultParagraphFont"/>
    <w:link w:val="Footer"/>
    <w:uiPriority w:val="99"/>
    <w:rsid w:val="00233A8A"/>
  </w:style>
  <w:style w:type="character" w:styleId="PageNumber">
    <w:name w:val="page number"/>
    <w:basedOn w:val="DefaultParagraphFont"/>
    <w:uiPriority w:val="99"/>
    <w:semiHidden/>
    <w:unhideWhenUsed/>
    <w:rsid w:val="00233A8A"/>
  </w:style>
  <w:style w:type="paragraph" w:styleId="ListParagraph">
    <w:name w:val="List Paragraph"/>
    <w:basedOn w:val="Normal"/>
    <w:uiPriority w:val="34"/>
    <w:qFormat/>
    <w:rsid w:val="00AE67E8"/>
    <w:pPr>
      <w:ind w:left="720"/>
      <w:contextualSpacing/>
    </w:pPr>
  </w:style>
  <w:style w:type="paragraph" w:styleId="Subtitle">
    <w:name w:val="Subtitle"/>
    <w:basedOn w:val="Normal"/>
    <w:next w:val="Normal"/>
    <w:link w:val="SubtitleChar"/>
    <w:uiPriority w:val="11"/>
    <w:qFormat/>
    <w:rsid w:val="00C920F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920FE"/>
    <w:rPr>
      <w:rFonts w:asciiTheme="majorHAnsi" w:eastAsiaTheme="majorEastAsia" w:hAnsiTheme="majorHAnsi" w:cstheme="majorBidi"/>
      <w:i/>
      <w:iCs/>
      <w:color w:val="4F81BD" w:themeColor="accent1"/>
      <w:spacing w:val="15"/>
    </w:rPr>
  </w:style>
  <w:style w:type="character" w:styleId="FollowedHyperlink">
    <w:name w:val="FollowedHyperlink"/>
    <w:basedOn w:val="DefaultParagraphFont"/>
    <w:uiPriority w:val="99"/>
    <w:semiHidden/>
    <w:unhideWhenUsed/>
    <w:rsid w:val="00B606C9"/>
    <w:rPr>
      <w:color w:val="800080" w:themeColor="followedHyperlink"/>
      <w:u w:val="single"/>
    </w:rPr>
  </w:style>
  <w:style w:type="character" w:styleId="CommentReference">
    <w:name w:val="annotation reference"/>
    <w:basedOn w:val="DefaultParagraphFont"/>
    <w:uiPriority w:val="99"/>
    <w:semiHidden/>
    <w:unhideWhenUsed/>
    <w:rsid w:val="007D3F61"/>
    <w:rPr>
      <w:sz w:val="18"/>
      <w:szCs w:val="18"/>
    </w:rPr>
  </w:style>
  <w:style w:type="paragraph" w:styleId="CommentText">
    <w:name w:val="annotation text"/>
    <w:basedOn w:val="Normal"/>
    <w:link w:val="CommentTextChar"/>
    <w:uiPriority w:val="99"/>
    <w:semiHidden/>
    <w:unhideWhenUsed/>
    <w:rsid w:val="007D3F61"/>
  </w:style>
  <w:style w:type="character" w:customStyle="1" w:styleId="CommentTextChar">
    <w:name w:val="Comment Text Char"/>
    <w:basedOn w:val="DefaultParagraphFont"/>
    <w:link w:val="CommentText"/>
    <w:uiPriority w:val="99"/>
    <w:semiHidden/>
    <w:rsid w:val="007D3F61"/>
  </w:style>
  <w:style w:type="paragraph" w:styleId="BalloonText">
    <w:name w:val="Balloon Text"/>
    <w:basedOn w:val="Normal"/>
    <w:link w:val="BalloonTextChar"/>
    <w:uiPriority w:val="99"/>
    <w:semiHidden/>
    <w:unhideWhenUsed/>
    <w:rsid w:val="007D3F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3F61"/>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B229A1"/>
    <w:rPr>
      <w:b/>
      <w:bCs/>
      <w:sz w:val="20"/>
      <w:szCs w:val="20"/>
    </w:rPr>
  </w:style>
  <w:style w:type="character" w:customStyle="1" w:styleId="CommentSubjectChar">
    <w:name w:val="Comment Subject Char"/>
    <w:basedOn w:val="CommentTextChar"/>
    <w:link w:val="CommentSubject"/>
    <w:uiPriority w:val="99"/>
    <w:semiHidden/>
    <w:rsid w:val="00B229A1"/>
    <w:rPr>
      <w:b/>
      <w:bCs/>
      <w:sz w:val="20"/>
      <w:szCs w:val="20"/>
    </w:rPr>
  </w:style>
  <w:style w:type="paragraph" w:styleId="Header">
    <w:name w:val="header"/>
    <w:basedOn w:val="Normal"/>
    <w:link w:val="HeaderChar"/>
    <w:uiPriority w:val="99"/>
    <w:unhideWhenUsed/>
    <w:rsid w:val="002F2466"/>
    <w:pPr>
      <w:tabs>
        <w:tab w:val="center" w:pos="4320"/>
        <w:tab w:val="right" w:pos="8640"/>
      </w:tabs>
    </w:pPr>
  </w:style>
  <w:style w:type="character" w:customStyle="1" w:styleId="HeaderChar">
    <w:name w:val="Header Char"/>
    <w:basedOn w:val="DefaultParagraphFont"/>
    <w:link w:val="Header"/>
    <w:uiPriority w:val="99"/>
    <w:rsid w:val="002F2466"/>
  </w:style>
  <w:style w:type="paragraph" w:styleId="NormalWeb">
    <w:name w:val="Normal (Web)"/>
    <w:basedOn w:val="Normal"/>
    <w:uiPriority w:val="99"/>
    <w:semiHidden/>
    <w:unhideWhenUsed/>
    <w:rsid w:val="00C84A27"/>
    <w:pPr>
      <w:spacing w:before="100" w:beforeAutospacing="1" w:after="100" w:afterAutospacing="1"/>
    </w:pPr>
    <w:rPr>
      <w:rFonts w:ascii="Times" w:hAnsi="Times"/>
      <w:sz w:val="20"/>
      <w:szCs w:val="20"/>
    </w:rPr>
  </w:style>
  <w:style w:type="paragraph" w:styleId="Revision">
    <w:name w:val="Revision"/>
    <w:hidden/>
    <w:uiPriority w:val="99"/>
    <w:semiHidden/>
    <w:rsid w:val="00EB47AB"/>
  </w:style>
  <w:style w:type="paragraph" w:customStyle="1" w:styleId="EndNoteBibliographyTitle">
    <w:name w:val="EndNote Bibliography Title"/>
    <w:basedOn w:val="Normal"/>
    <w:rsid w:val="00FD2ED4"/>
    <w:pPr>
      <w:jc w:val="center"/>
    </w:pPr>
    <w:rPr>
      <w:rFonts w:ascii="Arial" w:hAnsi="Arial" w:cs="Arial"/>
      <w:sz w:val="20"/>
    </w:rPr>
  </w:style>
  <w:style w:type="paragraph" w:customStyle="1" w:styleId="EndNoteBibliography">
    <w:name w:val="EndNote Bibliography"/>
    <w:basedOn w:val="Normal"/>
    <w:rsid w:val="00FD2ED4"/>
    <w:pPr>
      <w:jc w:val="both"/>
    </w:pPr>
    <w:rPr>
      <w:rFonts w:ascii="Arial" w:hAnsi="Arial" w:cs="Arial"/>
      <w:sz w:val="20"/>
    </w:rPr>
  </w:style>
  <w:style w:type="paragraph" w:styleId="Bibliography">
    <w:name w:val="Bibliography"/>
    <w:basedOn w:val="Normal"/>
    <w:next w:val="Normal"/>
    <w:uiPriority w:val="37"/>
    <w:unhideWhenUsed/>
    <w:rsid w:val="00B902D4"/>
    <w:pPr>
      <w:tabs>
        <w:tab w:val="left" w:pos="380"/>
        <w:tab w:val="left" w:pos="500"/>
      </w:tabs>
      <w:spacing w:line="480" w:lineRule="auto"/>
      <w:ind w:left="384" w:hanging="384"/>
    </w:pPr>
  </w:style>
  <w:style w:type="character" w:customStyle="1" w:styleId="UnresolvedMention">
    <w:name w:val="Unresolved Mention"/>
    <w:basedOn w:val="DefaultParagraphFont"/>
    <w:uiPriority w:val="99"/>
    <w:semiHidden/>
    <w:unhideWhenUsed/>
    <w:rsid w:val="007965DF"/>
    <w:rPr>
      <w:color w:val="605E5C"/>
      <w:shd w:val="clear" w:color="auto" w:fill="E1DFDD"/>
    </w:rPr>
  </w:style>
  <w:style w:type="character" w:styleId="Strong">
    <w:name w:val="Strong"/>
    <w:basedOn w:val="DefaultParagraphFont"/>
    <w:uiPriority w:val="22"/>
    <w:qFormat/>
    <w:rsid w:val="00BD5A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99563">
      <w:bodyDiv w:val="1"/>
      <w:marLeft w:val="0"/>
      <w:marRight w:val="0"/>
      <w:marTop w:val="0"/>
      <w:marBottom w:val="0"/>
      <w:divBdr>
        <w:top w:val="none" w:sz="0" w:space="0" w:color="auto"/>
        <w:left w:val="none" w:sz="0" w:space="0" w:color="auto"/>
        <w:bottom w:val="none" w:sz="0" w:space="0" w:color="auto"/>
        <w:right w:val="none" w:sz="0" w:space="0" w:color="auto"/>
      </w:divBdr>
    </w:div>
    <w:div w:id="321347693">
      <w:bodyDiv w:val="1"/>
      <w:marLeft w:val="0"/>
      <w:marRight w:val="0"/>
      <w:marTop w:val="0"/>
      <w:marBottom w:val="0"/>
      <w:divBdr>
        <w:top w:val="none" w:sz="0" w:space="0" w:color="auto"/>
        <w:left w:val="none" w:sz="0" w:space="0" w:color="auto"/>
        <w:bottom w:val="none" w:sz="0" w:space="0" w:color="auto"/>
        <w:right w:val="none" w:sz="0" w:space="0" w:color="auto"/>
      </w:divBdr>
    </w:div>
    <w:div w:id="332148043">
      <w:bodyDiv w:val="1"/>
      <w:marLeft w:val="0"/>
      <w:marRight w:val="0"/>
      <w:marTop w:val="0"/>
      <w:marBottom w:val="0"/>
      <w:divBdr>
        <w:top w:val="none" w:sz="0" w:space="0" w:color="auto"/>
        <w:left w:val="none" w:sz="0" w:space="0" w:color="auto"/>
        <w:bottom w:val="none" w:sz="0" w:space="0" w:color="auto"/>
        <w:right w:val="none" w:sz="0" w:space="0" w:color="auto"/>
      </w:divBdr>
    </w:div>
    <w:div w:id="332680517">
      <w:bodyDiv w:val="1"/>
      <w:marLeft w:val="0"/>
      <w:marRight w:val="0"/>
      <w:marTop w:val="0"/>
      <w:marBottom w:val="0"/>
      <w:divBdr>
        <w:top w:val="none" w:sz="0" w:space="0" w:color="auto"/>
        <w:left w:val="none" w:sz="0" w:space="0" w:color="auto"/>
        <w:bottom w:val="none" w:sz="0" w:space="0" w:color="auto"/>
        <w:right w:val="none" w:sz="0" w:space="0" w:color="auto"/>
      </w:divBdr>
    </w:div>
    <w:div w:id="452864493">
      <w:bodyDiv w:val="1"/>
      <w:marLeft w:val="0"/>
      <w:marRight w:val="0"/>
      <w:marTop w:val="0"/>
      <w:marBottom w:val="0"/>
      <w:divBdr>
        <w:top w:val="none" w:sz="0" w:space="0" w:color="auto"/>
        <w:left w:val="none" w:sz="0" w:space="0" w:color="auto"/>
        <w:bottom w:val="none" w:sz="0" w:space="0" w:color="auto"/>
        <w:right w:val="none" w:sz="0" w:space="0" w:color="auto"/>
      </w:divBdr>
    </w:div>
    <w:div w:id="776485379">
      <w:bodyDiv w:val="1"/>
      <w:marLeft w:val="0"/>
      <w:marRight w:val="0"/>
      <w:marTop w:val="0"/>
      <w:marBottom w:val="0"/>
      <w:divBdr>
        <w:top w:val="none" w:sz="0" w:space="0" w:color="auto"/>
        <w:left w:val="none" w:sz="0" w:space="0" w:color="auto"/>
        <w:bottom w:val="none" w:sz="0" w:space="0" w:color="auto"/>
        <w:right w:val="none" w:sz="0" w:space="0" w:color="auto"/>
      </w:divBdr>
    </w:div>
    <w:div w:id="878200881">
      <w:bodyDiv w:val="1"/>
      <w:marLeft w:val="0"/>
      <w:marRight w:val="0"/>
      <w:marTop w:val="0"/>
      <w:marBottom w:val="0"/>
      <w:divBdr>
        <w:top w:val="none" w:sz="0" w:space="0" w:color="auto"/>
        <w:left w:val="none" w:sz="0" w:space="0" w:color="auto"/>
        <w:bottom w:val="none" w:sz="0" w:space="0" w:color="auto"/>
        <w:right w:val="none" w:sz="0" w:space="0" w:color="auto"/>
      </w:divBdr>
      <w:divsChild>
        <w:div w:id="1475757369">
          <w:marLeft w:val="480"/>
          <w:marRight w:val="0"/>
          <w:marTop w:val="0"/>
          <w:marBottom w:val="0"/>
          <w:divBdr>
            <w:top w:val="none" w:sz="0" w:space="0" w:color="auto"/>
            <w:left w:val="none" w:sz="0" w:space="0" w:color="auto"/>
            <w:bottom w:val="none" w:sz="0" w:space="0" w:color="auto"/>
            <w:right w:val="none" w:sz="0" w:space="0" w:color="auto"/>
          </w:divBdr>
          <w:divsChild>
            <w:div w:id="437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2067">
      <w:bodyDiv w:val="1"/>
      <w:marLeft w:val="0"/>
      <w:marRight w:val="0"/>
      <w:marTop w:val="0"/>
      <w:marBottom w:val="0"/>
      <w:divBdr>
        <w:top w:val="none" w:sz="0" w:space="0" w:color="auto"/>
        <w:left w:val="none" w:sz="0" w:space="0" w:color="auto"/>
        <w:bottom w:val="none" w:sz="0" w:space="0" w:color="auto"/>
        <w:right w:val="none" w:sz="0" w:space="0" w:color="auto"/>
      </w:divBdr>
    </w:div>
    <w:div w:id="1415468247">
      <w:bodyDiv w:val="1"/>
      <w:marLeft w:val="0"/>
      <w:marRight w:val="0"/>
      <w:marTop w:val="0"/>
      <w:marBottom w:val="0"/>
      <w:divBdr>
        <w:top w:val="none" w:sz="0" w:space="0" w:color="auto"/>
        <w:left w:val="none" w:sz="0" w:space="0" w:color="auto"/>
        <w:bottom w:val="none" w:sz="0" w:space="0" w:color="auto"/>
        <w:right w:val="none" w:sz="0" w:space="0" w:color="auto"/>
      </w:divBdr>
    </w:div>
    <w:div w:id="1694845131">
      <w:bodyDiv w:val="1"/>
      <w:marLeft w:val="0"/>
      <w:marRight w:val="0"/>
      <w:marTop w:val="0"/>
      <w:marBottom w:val="0"/>
      <w:divBdr>
        <w:top w:val="none" w:sz="0" w:space="0" w:color="auto"/>
        <w:left w:val="none" w:sz="0" w:space="0" w:color="auto"/>
        <w:bottom w:val="none" w:sz="0" w:space="0" w:color="auto"/>
        <w:right w:val="none" w:sz="0" w:space="0" w:color="auto"/>
      </w:divBdr>
    </w:div>
    <w:div w:id="1737627124">
      <w:bodyDiv w:val="1"/>
      <w:marLeft w:val="0"/>
      <w:marRight w:val="0"/>
      <w:marTop w:val="0"/>
      <w:marBottom w:val="0"/>
      <w:divBdr>
        <w:top w:val="none" w:sz="0" w:space="0" w:color="auto"/>
        <w:left w:val="none" w:sz="0" w:space="0" w:color="auto"/>
        <w:bottom w:val="none" w:sz="0" w:space="0" w:color="auto"/>
        <w:right w:val="none" w:sz="0" w:space="0" w:color="auto"/>
      </w:divBdr>
    </w:div>
    <w:div w:id="1785226220">
      <w:bodyDiv w:val="1"/>
      <w:marLeft w:val="0"/>
      <w:marRight w:val="0"/>
      <w:marTop w:val="0"/>
      <w:marBottom w:val="0"/>
      <w:divBdr>
        <w:top w:val="none" w:sz="0" w:space="0" w:color="auto"/>
        <w:left w:val="none" w:sz="0" w:space="0" w:color="auto"/>
        <w:bottom w:val="none" w:sz="0" w:space="0" w:color="auto"/>
        <w:right w:val="none" w:sz="0" w:space="0" w:color="auto"/>
      </w:divBdr>
    </w:div>
    <w:div w:id="1984312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4464</Words>
  <Characters>25448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IPBS-CNRS</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Peixoto</dc:creator>
  <cp:keywords/>
  <cp:lastModifiedBy>Amala Gobiraman, Integra-PDY, IN</cp:lastModifiedBy>
  <cp:revision>2</cp:revision>
  <cp:lastPrinted>2020-08-19T11:42:00Z</cp:lastPrinted>
  <dcterms:created xsi:type="dcterms:W3CDTF">2020-10-31T13:41:00Z</dcterms:created>
  <dcterms:modified xsi:type="dcterms:W3CDTF">2020-10-31T13:41:00Z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id="pm3sC3dT"/&gt;&lt;style id="http://www.zotero.org/styles/nature" hasBibliography="1" bibliographyStyleHasBeenSet="1"/&gt;&lt;prefs&gt;&lt;pref name="fieldType" value="Field"/&gt;&lt;pref name="dontAskDelayCitationUpdate</vt:lpwstr>
  </property>
  <property fmtid="{D5CDD505-2E9C-101B-9397-08002B2CF9AE}" pid="3" name="ZOTERO_PREF_2">
    <vt:lpwstr>s" value="true"/&gt;&lt;/prefs&gt;&lt;/data&gt;</vt:lpwstr>
  </property>
</Properties>
</file>