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69C1F" w14:textId="77777777" w:rsidR="00C74B63" w:rsidRPr="00E2389C" w:rsidRDefault="007007BC" w:rsidP="00B17A87">
      <w:pPr>
        <w:pStyle w:val="Title"/>
      </w:pPr>
      <w:r w:rsidRPr="00E2389C">
        <w:t>Supplementary Materials</w:t>
      </w:r>
    </w:p>
    <w:p w14:paraId="7D915FC8" w14:textId="77777777" w:rsidR="00465755" w:rsidRDefault="003C2A3E" w:rsidP="004C7BF6">
      <w:pPr>
        <w:spacing w:line="264" w:lineRule="auto"/>
      </w:pPr>
      <w:r w:rsidRPr="006D40B5">
        <w:t xml:space="preserve">Translational Studies </w:t>
      </w:r>
      <w:r>
        <w:t>Using</w:t>
      </w:r>
      <w:r w:rsidRPr="006D40B5">
        <w:t xml:space="preserve"> the MALT1 Inhibitor (</w:t>
      </w:r>
      <w:r w:rsidRPr="006D40B5">
        <w:rPr>
          <w:i/>
        </w:rPr>
        <w:t>S</w:t>
      </w:r>
      <w:r w:rsidRPr="006D40B5">
        <w:t xml:space="preserve">)-Mepazine to Induce Treg Fragility and Potentiate Immune Checkpoint Therapy </w:t>
      </w:r>
      <w:r>
        <w:t>in</w:t>
      </w:r>
      <w:r w:rsidRPr="006D40B5">
        <w:t xml:space="preserve"> Cancer</w:t>
      </w:r>
    </w:p>
    <w:p w14:paraId="233432CB" w14:textId="4D147D22" w:rsidR="003C2A3E" w:rsidRPr="003C2A3E" w:rsidRDefault="003C2A3E" w:rsidP="004C7BF6">
      <w:pPr>
        <w:spacing w:line="264" w:lineRule="auto"/>
      </w:pPr>
      <w:r>
        <w:rPr>
          <w:color w:val="000000"/>
          <w:shd w:val="clear" w:color="auto" w:fill="FFFFFF"/>
        </w:rPr>
        <w:t>Mauro Di Pilato,</w:t>
      </w:r>
      <w:r w:rsidRPr="00535246">
        <w:rPr>
          <w:color w:val="000000"/>
          <w:shd w:val="clear" w:color="auto" w:fill="FFFFFF"/>
        </w:rPr>
        <w:t xml:space="preserve"> </w:t>
      </w:r>
      <w:r>
        <w:rPr>
          <w:color w:val="000000"/>
          <w:shd w:val="clear" w:color="auto" w:fill="FFFFFF"/>
        </w:rPr>
        <w:t>Yun Gao, Yi Sun, Amina Fu,</w:t>
      </w:r>
      <w:r>
        <w:rPr>
          <w:color w:val="000000"/>
          <w:shd w:val="clear" w:color="auto" w:fill="FFFFFF"/>
          <w:vertAlign w:val="superscript"/>
        </w:rPr>
        <w:t xml:space="preserve"> </w:t>
      </w:r>
      <w:r>
        <w:rPr>
          <w:color w:val="000000"/>
          <w:shd w:val="clear" w:color="auto" w:fill="FFFFFF"/>
        </w:rPr>
        <w:t xml:space="preserve"> Carina Grass, Thomas Seeholzer,</w:t>
      </w:r>
      <w:r w:rsidRPr="00C8131C">
        <w:rPr>
          <w:color w:val="000000"/>
          <w:shd w:val="clear" w:color="auto" w:fill="FFFFFF"/>
        </w:rPr>
        <w:t xml:space="preserve"> </w:t>
      </w:r>
      <w:r w:rsidRPr="00535246">
        <w:rPr>
          <w:color w:val="000000"/>
          <w:shd w:val="clear" w:color="auto" w:fill="FFFFFF"/>
        </w:rPr>
        <w:t>Regina Feederle</w:t>
      </w:r>
      <w:r>
        <w:rPr>
          <w:color w:val="000000"/>
          <w:shd w:val="clear" w:color="auto" w:fill="FFFFFF"/>
        </w:rPr>
        <w:t>,</w:t>
      </w:r>
      <w:r w:rsidRPr="00CF16BA">
        <w:rPr>
          <w:color w:val="000000"/>
          <w:shd w:val="clear" w:color="auto" w:fill="FFFFFF"/>
        </w:rPr>
        <w:t xml:space="preserve"> </w:t>
      </w:r>
      <w:r>
        <w:rPr>
          <w:color w:val="000000"/>
          <w:shd w:val="clear" w:color="auto" w:fill="FFFFFF"/>
        </w:rPr>
        <w:t>Irina Mazo, Samuel W. Kazer,</w:t>
      </w:r>
      <w:r w:rsidR="007C3BB0">
        <w:rPr>
          <w:color w:val="000000"/>
          <w:shd w:val="clear" w:color="auto" w:fill="FFFFFF"/>
        </w:rPr>
        <w:t xml:space="preserve"> </w:t>
      </w:r>
      <w:r>
        <w:rPr>
          <w:color w:val="000000"/>
          <w:shd w:val="clear" w:color="auto" w:fill="FFFFFF"/>
        </w:rPr>
        <w:t xml:space="preserve">Kevin Litchfield, Ulrich H. von Andrian, Thorsten R. </w:t>
      </w:r>
      <w:proofErr w:type="spellStart"/>
      <w:r>
        <w:rPr>
          <w:color w:val="000000"/>
          <w:shd w:val="clear" w:color="auto" w:fill="FFFFFF"/>
        </w:rPr>
        <w:t>Mempel</w:t>
      </w:r>
      <w:proofErr w:type="spellEnd"/>
      <w:r>
        <w:rPr>
          <w:color w:val="000000"/>
          <w:shd w:val="clear" w:color="auto" w:fill="FFFFFF"/>
        </w:rPr>
        <w:t>,</w:t>
      </w:r>
      <w:r w:rsidRPr="00FA297F">
        <w:rPr>
          <w:color w:val="000000"/>
          <w:shd w:val="clear" w:color="auto" w:fill="FFFFFF"/>
        </w:rPr>
        <w:t xml:space="preserve"> </w:t>
      </w:r>
      <w:r>
        <w:rPr>
          <w:color w:val="000000"/>
          <w:shd w:val="clear" w:color="auto" w:fill="FFFFFF"/>
        </w:rPr>
        <w:t xml:space="preserve">Russell W. Jenkins, Daniel </w:t>
      </w:r>
      <w:proofErr w:type="spellStart"/>
      <w:r>
        <w:rPr>
          <w:color w:val="000000"/>
          <w:shd w:val="clear" w:color="auto" w:fill="FFFFFF"/>
        </w:rPr>
        <w:t>Krappmann</w:t>
      </w:r>
      <w:proofErr w:type="spellEnd"/>
      <w:r>
        <w:rPr>
          <w:color w:val="000000"/>
          <w:shd w:val="clear" w:color="auto" w:fill="FFFFFF"/>
        </w:rPr>
        <w:t>, Peter Keller</w:t>
      </w:r>
    </w:p>
    <w:p w14:paraId="5C802DB9" w14:textId="346A0671" w:rsidR="00B70DB5" w:rsidRPr="008C3D23" w:rsidRDefault="008C3D23" w:rsidP="00B17A87">
      <w:pPr>
        <w:rPr>
          <w:b/>
          <w:sz w:val="32"/>
          <w:szCs w:val="32"/>
        </w:rPr>
      </w:pPr>
      <w:r w:rsidRPr="008C3D23">
        <w:rPr>
          <w:b/>
          <w:sz w:val="32"/>
          <w:szCs w:val="32"/>
        </w:rPr>
        <w:t>Table of Contents</w:t>
      </w:r>
    </w:p>
    <w:p w14:paraId="2AC499F4" w14:textId="63F32D61" w:rsidR="00294206" w:rsidRDefault="0021593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08472476" w:history="1">
        <w:r w:rsidR="00294206" w:rsidRPr="001C43F7">
          <w:rPr>
            <w:rStyle w:val="Hyperlink"/>
            <w:noProof/>
          </w:rPr>
          <w:t>1. In Vivo Studies: Tumor Cell Preparation and Animal Care</w:t>
        </w:r>
        <w:r w:rsidR="00294206">
          <w:rPr>
            <w:noProof/>
            <w:webHidden/>
          </w:rPr>
          <w:tab/>
        </w:r>
        <w:r w:rsidR="00294206">
          <w:rPr>
            <w:noProof/>
            <w:webHidden/>
          </w:rPr>
          <w:fldChar w:fldCharType="begin"/>
        </w:r>
        <w:r w:rsidR="00294206">
          <w:rPr>
            <w:noProof/>
            <w:webHidden/>
          </w:rPr>
          <w:instrText xml:space="preserve"> PAGEREF _Toc108472476 \h </w:instrText>
        </w:r>
        <w:r w:rsidR="00294206">
          <w:rPr>
            <w:noProof/>
            <w:webHidden/>
          </w:rPr>
        </w:r>
        <w:r w:rsidR="00294206">
          <w:rPr>
            <w:noProof/>
            <w:webHidden/>
          </w:rPr>
          <w:fldChar w:fldCharType="separate"/>
        </w:r>
        <w:r w:rsidR="00294206">
          <w:rPr>
            <w:noProof/>
            <w:webHidden/>
          </w:rPr>
          <w:t>2</w:t>
        </w:r>
        <w:r w:rsidR="00294206">
          <w:rPr>
            <w:noProof/>
            <w:webHidden/>
          </w:rPr>
          <w:fldChar w:fldCharType="end"/>
        </w:r>
      </w:hyperlink>
    </w:p>
    <w:p w14:paraId="5352FC68" w14:textId="1D7A74C0" w:rsidR="00294206" w:rsidRDefault="00997770">
      <w:pPr>
        <w:pStyle w:val="TOC1"/>
        <w:rPr>
          <w:rFonts w:asciiTheme="minorHAnsi" w:eastAsiaTheme="minorEastAsia" w:hAnsiTheme="minorHAnsi" w:cstheme="minorBidi"/>
          <w:noProof/>
        </w:rPr>
      </w:pPr>
      <w:hyperlink w:anchor="_Toc108472477" w:history="1">
        <w:r w:rsidR="00294206" w:rsidRPr="001C43F7">
          <w:rPr>
            <w:rStyle w:val="Hyperlink"/>
            <w:noProof/>
          </w:rPr>
          <w:t>2. Generation of the anti-neoCYLDct monoclonal antibody</w:t>
        </w:r>
        <w:r w:rsidR="00294206">
          <w:rPr>
            <w:noProof/>
            <w:webHidden/>
          </w:rPr>
          <w:tab/>
        </w:r>
        <w:r w:rsidR="00294206">
          <w:rPr>
            <w:noProof/>
            <w:webHidden/>
          </w:rPr>
          <w:fldChar w:fldCharType="begin"/>
        </w:r>
        <w:r w:rsidR="00294206">
          <w:rPr>
            <w:noProof/>
            <w:webHidden/>
          </w:rPr>
          <w:instrText xml:space="preserve"> PAGEREF _Toc108472477 \h </w:instrText>
        </w:r>
        <w:r w:rsidR="00294206">
          <w:rPr>
            <w:noProof/>
            <w:webHidden/>
          </w:rPr>
        </w:r>
        <w:r w:rsidR="00294206">
          <w:rPr>
            <w:noProof/>
            <w:webHidden/>
          </w:rPr>
          <w:fldChar w:fldCharType="separate"/>
        </w:r>
        <w:r w:rsidR="00294206">
          <w:rPr>
            <w:noProof/>
            <w:webHidden/>
          </w:rPr>
          <w:t>3</w:t>
        </w:r>
        <w:r w:rsidR="00294206">
          <w:rPr>
            <w:noProof/>
            <w:webHidden/>
          </w:rPr>
          <w:fldChar w:fldCharType="end"/>
        </w:r>
      </w:hyperlink>
    </w:p>
    <w:p w14:paraId="31AA08A9" w14:textId="68C5EE4A" w:rsidR="00294206" w:rsidRDefault="00997770">
      <w:pPr>
        <w:pStyle w:val="TOC1"/>
        <w:rPr>
          <w:rFonts w:asciiTheme="minorHAnsi" w:eastAsiaTheme="minorEastAsia" w:hAnsiTheme="minorHAnsi" w:cstheme="minorBidi"/>
          <w:noProof/>
        </w:rPr>
      </w:pPr>
      <w:hyperlink w:anchor="_Toc108472478" w:history="1">
        <w:r w:rsidR="00294206" w:rsidRPr="001C43F7">
          <w:rPr>
            <w:rStyle w:val="Hyperlink"/>
            <w:noProof/>
          </w:rPr>
          <w:t>3. Organotypic Tumor Spheroid Preparation</w:t>
        </w:r>
        <w:r w:rsidR="00294206">
          <w:rPr>
            <w:noProof/>
            <w:webHidden/>
          </w:rPr>
          <w:tab/>
        </w:r>
        <w:r w:rsidR="00294206">
          <w:rPr>
            <w:noProof/>
            <w:webHidden/>
          </w:rPr>
          <w:fldChar w:fldCharType="begin"/>
        </w:r>
        <w:r w:rsidR="00294206">
          <w:rPr>
            <w:noProof/>
            <w:webHidden/>
          </w:rPr>
          <w:instrText xml:space="preserve"> PAGEREF _Toc108472478 \h </w:instrText>
        </w:r>
        <w:r w:rsidR="00294206">
          <w:rPr>
            <w:noProof/>
            <w:webHidden/>
          </w:rPr>
        </w:r>
        <w:r w:rsidR="00294206">
          <w:rPr>
            <w:noProof/>
            <w:webHidden/>
          </w:rPr>
          <w:fldChar w:fldCharType="separate"/>
        </w:r>
        <w:r w:rsidR="00294206">
          <w:rPr>
            <w:noProof/>
            <w:webHidden/>
          </w:rPr>
          <w:t>3</w:t>
        </w:r>
        <w:r w:rsidR="00294206">
          <w:rPr>
            <w:noProof/>
            <w:webHidden/>
          </w:rPr>
          <w:fldChar w:fldCharType="end"/>
        </w:r>
      </w:hyperlink>
    </w:p>
    <w:p w14:paraId="631AFDEE" w14:textId="4F1A22E0" w:rsidR="00294206" w:rsidRDefault="00997770">
      <w:pPr>
        <w:pStyle w:val="TOC1"/>
        <w:rPr>
          <w:rFonts w:asciiTheme="minorHAnsi" w:eastAsiaTheme="minorEastAsia" w:hAnsiTheme="minorHAnsi" w:cstheme="minorBidi"/>
          <w:noProof/>
        </w:rPr>
      </w:pPr>
      <w:hyperlink w:anchor="_Toc108472479" w:history="1">
        <w:r w:rsidR="00294206" w:rsidRPr="001C43F7">
          <w:rPr>
            <w:rStyle w:val="Hyperlink"/>
            <w:noProof/>
          </w:rPr>
          <w:t>4. Supplementary Tables</w:t>
        </w:r>
        <w:r w:rsidR="00294206">
          <w:rPr>
            <w:noProof/>
            <w:webHidden/>
          </w:rPr>
          <w:tab/>
        </w:r>
        <w:r w:rsidR="00294206">
          <w:rPr>
            <w:noProof/>
            <w:webHidden/>
          </w:rPr>
          <w:fldChar w:fldCharType="begin"/>
        </w:r>
        <w:r w:rsidR="00294206">
          <w:rPr>
            <w:noProof/>
            <w:webHidden/>
          </w:rPr>
          <w:instrText xml:space="preserve"> PAGEREF _Toc108472479 \h </w:instrText>
        </w:r>
        <w:r w:rsidR="00294206">
          <w:rPr>
            <w:noProof/>
            <w:webHidden/>
          </w:rPr>
        </w:r>
        <w:r w:rsidR="00294206">
          <w:rPr>
            <w:noProof/>
            <w:webHidden/>
          </w:rPr>
          <w:fldChar w:fldCharType="separate"/>
        </w:r>
        <w:r w:rsidR="00294206">
          <w:rPr>
            <w:noProof/>
            <w:webHidden/>
          </w:rPr>
          <w:t>5</w:t>
        </w:r>
        <w:r w:rsidR="00294206">
          <w:rPr>
            <w:noProof/>
            <w:webHidden/>
          </w:rPr>
          <w:fldChar w:fldCharType="end"/>
        </w:r>
      </w:hyperlink>
    </w:p>
    <w:p w14:paraId="1D8C78B1" w14:textId="692B9DB9" w:rsidR="00294206" w:rsidRDefault="00997770">
      <w:pPr>
        <w:pStyle w:val="TOC2"/>
        <w:tabs>
          <w:tab w:val="right" w:leader="dot" w:pos="9350"/>
        </w:tabs>
        <w:rPr>
          <w:rFonts w:asciiTheme="minorHAnsi" w:eastAsiaTheme="minorEastAsia" w:hAnsiTheme="minorHAnsi" w:cstheme="minorBidi"/>
          <w:noProof/>
        </w:rPr>
      </w:pPr>
      <w:hyperlink w:anchor="_Toc108472480" w:history="1">
        <w:r w:rsidR="00294206" w:rsidRPr="001C43F7">
          <w:rPr>
            <w:rStyle w:val="Hyperlink"/>
            <w:noProof/>
          </w:rPr>
          <w:t>Table S1. Patient Cohort from Massachusetts General Hospital for PDOTS Profiling</w:t>
        </w:r>
        <w:r w:rsidR="00294206">
          <w:rPr>
            <w:noProof/>
            <w:webHidden/>
          </w:rPr>
          <w:tab/>
        </w:r>
        <w:r w:rsidR="00294206">
          <w:rPr>
            <w:noProof/>
            <w:webHidden/>
          </w:rPr>
          <w:fldChar w:fldCharType="begin"/>
        </w:r>
        <w:r w:rsidR="00294206">
          <w:rPr>
            <w:noProof/>
            <w:webHidden/>
          </w:rPr>
          <w:instrText xml:space="preserve"> PAGEREF _Toc108472480 \h </w:instrText>
        </w:r>
        <w:r w:rsidR="00294206">
          <w:rPr>
            <w:noProof/>
            <w:webHidden/>
          </w:rPr>
        </w:r>
        <w:r w:rsidR="00294206">
          <w:rPr>
            <w:noProof/>
            <w:webHidden/>
          </w:rPr>
          <w:fldChar w:fldCharType="separate"/>
        </w:r>
        <w:r w:rsidR="00294206">
          <w:rPr>
            <w:noProof/>
            <w:webHidden/>
          </w:rPr>
          <w:t>5</w:t>
        </w:r>
        <w:r w:rsidR="00294206">
          <w:rPr>
            <w:noProof/>
            <w:webHidden/>
          </w:rPr>
          <w:fldChar w:fldCharType="end"/>
        </w:r>
      </w:hyperlink>
    </w:p>
    <w:p w14:paraId="30FEE0FD" w14:textId="43B76ADD" w:rsidR="00294206" w:rsidRDefault="00997770">
      <w:pPr>
        <w:pStyle w:val="TOC2"/>
        <w:tabs>
          <w:tab w:val="right" w:leader="dot" w:pos="9350"/>
        </w:tabs>
        <w:rPr>
          <w:rFonts w:asciiTheme="minorHAnsi" w:eastAsiaTheme="minorEastAsia" w:hAnsiTheme="minorHAnsi" w:cstheme="minorBidi"/>
          <w:noProof/>
        </w:rPr>
      </w:pPr>
      <w:hyperlink w:anchor="_Toc108472481" w:history="1">
        <w:r w:rsidR="00294206" w:rsidRPr="001C43F7">
          <w:rPr>
            <w:rStyle w:val="Hyperlink"/>
            <w:noProof/>
          </w:rPr>
          <w:t>Table S2. Selected Properties of (</w:t>
        </w:r>
        <w:r w:rsidR="00294206" w:rsidRPr="001C43F7">
          <w:rPr>
            <w:rStyle w:val="Hyperlink"/>
            <w:i/>
            <w:noProof/>
          </w:rPr>
          <w:t>S</w:t>
        </w:r>
        <w:r w:rsidR="00294206" w:rsidRPr="001C43F7">
          <w:rPr>
            <w:rStyle w:val="Hyperlink"/>
            <w:noProof/>
          </w:rPr>
          <w:t>)-Mepazine and Its Salts</w:t>
        </w:r>
        <w:r w:rsidR="00294206">
          <w:rPr>
            <w:noProof/>
            <w:webHidden/>
          </w:rPr>
          <w:tab/>
        </w:r>
        <w:r w:rsidR="00294206">
          <w:rPr>
            <w:noProof/>
            <w:webHidden/>
          </w:rPr>
          <w:fldChar w:fldCharType="begin"/>
        </w:r>
        <w:r w:rsidR="00294206">
          <w:rPr>
            <w:noProof/>
            <w:webHidden/>
          </w:rPr>
          <w:instrText xml:space="preserve"> PAGEREF _Toc108472481 \h </w:instrText>
        </w:r>
        <w:r w:rsidR="00294206">
          <w:rPr>
            <w:noProof/>
            <w:webHidden/>
          </w:rPr>
        </w:r>
        <w:r w:rsidR="00294206">
          <w:rPr>
            <w:noProof/>
            <w:webHidden/>
          </w:rPr>
          <w:fldChar w:fldCharType="separate"/>
        </w:r>
        <w:r w:rsidR="00294206">
          <w:rPr>
            <w:noProof/>
            <w:webHidden/>
          </w:rPr>
          <w:t>6</w:t>
        </w:r>
        <w:r w:rsidR="00294206">
          <w:rPr>
            <w:noProof/>
            <w:webHidden/>
          </w:rPr>
          <w:fldChar w:fldCharType="end"/>
        </w:r>
      </w:hyperlink>
    </w:p>
    <w:p w14:paraId="3D0A16B6" w14:textId="4D5723E9" w:rsidR="00294206" w:rsidRDefault="00997770">
      <w:pPr>
        <w:pStyle w:val="TOC2"/>
        <w:tabs>
          <w:tab w:val="right" w:leader="dot" w:pos="9350"/>
        </w:tabs>
        <w:rPr>
          <w:rFonts w:asciiTheme="minorHAnsi" w:eastAsiaTheme="minorEastAsia" w:hAnsiTheme="minorHAnsi" w:cstheme="minorBidi"/>
          <w:noProof/>
        </w:rPr>
      </w:pPr>
      <w:hyperlink w:anchor="_Toc108472482" w:history="1">
        <w:r w:rsidR="00294206" w:rsidRPr="001C43F7">
          <w:rPr>
            <w:rStyle w:val="Hyperlink"/>
            <w:noProof/>
          </w:rPr>
          <w:t>Table S3. Plasma Pharmacokinetic Parameters of MPT-0118 and MPT-0308 in Male C57BL/6J Mice After a Single Dose</w:t>
        </w:r>
        <w:r w:rsidR="00294206" w:rsidRPr="001C43F7">
          <w:rPr>
            <w:rStyle w:val="Hyperlink"/>
            <w:noProof/>
            <w:vertAlign w:val="superscript"/>
          </w:rPr>
          <w:t>a</w:t>
        </w:r>
        <w:r w:rsidR="00294206">
          <w:rPr>
            <w:noProof/>
            <w:webHidden/>
          </w:rPr>
          <w:tab/>
        </w:r>
        <w:r w:rsidR="00294206">
          <w:rPr>
            <w:noProof/>
            <w:webHidden/>
          </w:rPr>
          <w:fldChar w:fldCharType="begin"/>
        </w:r>
        <w:r w:rsidR="00294206">
          <w:rPr>
            <w:noProof/>
            <w:webHidden/>
          </w:rPr>
          <w:instrText xml:space="preserve"> PAGEREF _Toc108472482 \h </w:instrText>
        </w:r>
        <w:r w:rsidR="00294206">
          <w:rPr>
            <w:noProof/>
            <w:webHidden/>
          </w:rPr>
        </w:r>
        <w:r w:rsidR="00294206">
          <w:rPr>
            <w:noProof/>
            <w:webHidden/>
          </w:rPr>
          <w:fldChar w:fldCharType="separate"/>
        </w:r>
        <w:r w:rsidR="00294206">
          <w:rPr>
            <w:noProof/>
            <w:webHidden/>
          </w:rPr>
          <w:t>7</w:t>
        </w:r>
        <w:r w:rsidR="00294206">
          <w:rPr>
            <w:noProof/>
            <w:webHidden/>
          </w:rPr>
          <w:fldChar w:fldCharType="end"/>
        </w:r>
      </w:hyperlink>
    </w:p>
    <w:p w14:paraId="471624ED" w14:textId="7E38695F" w:rsidR="00294206" w:rsidRDefault="00997770">
      <w:pPr>
        <w:pStyle w:val="TOC2"/>
        <w:tabs>
          <w:tab w:val="right" w:leader="dot" w:pos="9350"/>
        </w:tabs>
        <w:rPr>
          <w:rFonts w:asciiTheme="minorHAnsi" w:eastAsiaTheme="minorEastAsia" w:hAnsiTheme="minorHAnsi" w:cstheme="minorBidi"/>
          <w:noProof/>
        </w:rPr>
      </w:pPr>
      <w:hyperlink w:anchor="_Toc108472483" w:history="1">
        <w:r w:rsidR="00294206" w:rsidRPr="001C43F7">
          <w:rPr>
            <w:rStyle w:val="Hyperlink"/>
            <w:noProof/>
          </w:rPr>
          <w:t>Table S4. Mean Plasma and Tissue Pharmacokinetics in Fasted Female ICR Mice and Female Wistar Rats Following a Single Oral 16 mg/kg Dose of MPT-0308</w:t>
        </w:r>
        <w:r w:rsidR="00294206" w:rsidRPr="001C43F7">
          <w:rPr>
            <w:rStyle w:val="Hyperlink"/>
            <w:noProof/>
            <w:vertAlign w:val="superscript"/>
          </w:rPr>
          <w:t>a</w:t>
        </w:r>
        <w:r w:rsidR="00294206">
          <w:rPr>
            <w:noProof/>
            <w:webHidden/>
          </w:rPr>
          <w:tab/>
        </w:r>
        <w:r w:rsidR="00294206">
          <w:rPr>
            <w:noProof/>
            <w:webHidden/>
          </w:rPr>
          <w:fldChar w:fldCharType="begin"/>
        </w:r>
        <w:r w:rsidR="00294206">
          <w:rPr>
            <w:noProof/>
            <w:webHidden/>
          </w:rPr>
          <w:instrText xml:space="preserve"> PAGEREF _Toc108472483 \h </w:instrText>
        </w:r>
        <w:r w:rsidR="00294206">
          <w:rPr>
            <w:noProof/>
            <w:webHidden/>
          </w:rPr>
        </w:r>
        <w:r w:rsidR="00294206">
          <w:rPr>
            <w:noProof/>
            <w:webHidden/>
          </w:rPr>
          <w:fldChar w:fldCharType="separate"/>
        </w:r>
        <w:r w:rsidR="00294206">
          <w:rPr>
            <w:noProof/>
            <w:webHidden/>
          </w:rPr>
          <w:t>8</w:t>
        </w:r>
        <w:r w:rsidR="00294206">
          <w:rPr>
            <w:noProof/>
            <w:webHidden/>
          </w:rPr>
          <w:fldChar w:fldCharType="end"/>
        </w:r>
      </w:hyperlink>
    </w:p>
    <w:p w14:paraId="379365A6" w14:textId="7B915FDC" w:rsidR="00294206" w:rsidRDefault="00997770">
      <w:pPr>
        <w:pStyle w:val="TOC1"/>
        <w:rPr>
          <w:rFonts w:asciiTheme="minorHAnsi" w:eastAsiaTheme="minorEastAsia" w:hAnsiTheme="minorHAnsi" w:cstheme="minorBidi"/>
          <w:noProof/>
        </w:rPr>
      </w:pPr>
      <w:hyperlink w:anchor="_Toc108472484" w:history="1">
        <w:r w:rsidR="00294206" w:rsidRPr="001C43F7">
          <w:rPr>
            <w:rStyle w:val="Hyperlink"/>
            <w:noProof/>
          </w:rPr>
          <w:t>5. Supplementary Figures</w:t>
        </w:r>
        <w:r w:rsidR="00294206">
          <w:rPr>
            <w:noProof/>
            <w:webHidden/>
          </w:rPr>
          <w:tab/>
        </w:r>
        <w:r w:rsidR="00294206">
          <w:rPr>
            <w:noProof/>
            <w:webHidden/>
          </w:rPr>
          <w:fldChar w:fldCharType="begin"/>
        </w:r>
        <w:r w:rsidR="00294206">
          <w:rPr>
            <w:noProof/>
            <w:webHidden/>
          </w:rPr>
          <w:instrText xml:space="preserve"> PAGEREF _Toc108472484 \h </w:instrText>
        </w:r>
        <w:r w:rsidR="00294206">
          <w:rPr>
            <w:noProof/>
            <w:webHidden/>
          </w:rPr>
        </w:r>
        <w:r w:rsidR="00294206">
          <w:rPr>
            <w:noProof/>
            <w:webHidden/>
          </w:rPr>
          <w:fldChar w:fldCharType="separate"/>
        </w:r>
        <w:r w:rsidR="00294206">
          <w:rPr>
            <w:noProof/>
            <w:webHidden/>
          </w:rPr>
          <w:t>9</w:t>
        </w:r>
        <w:r w:rsidR="00294206">
          <w:rPr>
            <w:noProof/>
            <w:webHidden/>
          </w:rPr>
          <w:fldChar w:fldCharType="end"/>
        </w:r>
      </w:hyperlink>
    </w:p>
    <w:p w14:paraId="2CAF6B12" w14:textId="4B59816A" w:rsidR="00294206" w:rsidRDefault="00997770">
      <w:pPr>
        <w:pStyle w:val="TOC2"/>
        <w:tabs>
          <w:tab w:val="right" w:leader="dot" w:pos="9350"/>
        </w:tabs>
        <w:rPr>
          <w:rFonts w:asciiTheme="minorHAnsi" w:eastAsiaTheme="minorEastAsia" w:hAnsiTheme="minorHAnsi" w:cstheme="minorBidi"/>
          <w:noProof/>
        </w:rPr>
      </w:pPr>
      <w:hyperlink w:anchor="_Toc108472485" w:history="1">
        <w:r w:rsidR="00294206" w:rsidRPr="001C43F7">
          <w:rPr>
            <w:rStyle w:val="Hyperlink"/>
            <w:noProof/>
          </w:rPr>
          <w:t>Figure S1. Comparison of the efficacy of MPT-0118 and MPT-0308 in the D4M.3A syngeneic tumor model and assessment of lead-in therapy with MPT-0118.</w:t>
        </w:r>
        <w:r w:rsidR="00294206">
          <w:rPr>
            <w:noProof/>
            <w:webHidden/>
          </w:rPr>
          <w:tab/>
        </w:r>
        <w:r w:rsidR="00294206">
          <w:rPr>
            <w:noProof/>
            <w:webHidden/>
          </w:rPr>
          <w:fldChar w:fldCharType="begin"/>
        </w:r>
        <w:r w:rsidR="00294206">
          <w:rPr>
            <w:noProof/>
            <w:webHidden/>
          </w:rPr>
          <w:instrText xml:space="preserve"> PAGEREF _Toc108472485 \h </w:instrText>
        </w:r>
        <w:r w:rsidR="00294206">
          <w:rPr>
            <w:noProof/>
            <w:webHidden/>
          </w:rPr>
        </w:r>
        <w:r w:rsidR="00294206">
          <w:rPr>
            <w:noProof/>
            <w:webHidden/>
          </w:rPr>
          <w:fldChar w:fldCharType="separate"/>
        </w:r>
        <w:r w:rsidR="00294206">
          <w:rPr>
            <w:noProof/>
            <w:webHidden/>
          </w:rPr>
          <w:t>9</w:t>
        </w:r>
        <w:r w:rsidR="00294206">
          <w:rPr>
            <w:noProof/>
            <w:webHidden/>
          </w:rPr>
          <w:fldChar w:fldCharType="end"/>
        </w:r>
      </w:hyperlink>
    </w:p>
    <w:p w14:paraId="60AB5C3E" w14:textId="115B22BE" w:rsidR="00294206" w:rsidRDefault="00997770">
      <w:pPr>
        <w:pStyle w:val="TOC2"/>
        <w:tabs>
          <w:tab w:val="right" w:leader="dot" w:pos="9350"/>
        </w:tabs>
        <w:rPr>
          <w:rFonts w:asciiTheme="minorHAnsi" w:eastAsiaTheme="minorEastAsia" w:hAnsiTheme="minorHAnsi" w:cstheme="minorBidi"/>
          <w:noProof/>
        </w:rPr>
      </w:pPr>
      <w:hyperlink w:anchor="_Toc108472486" w:history="1">
        <w:r w:rsidR="00294206" w:rsidRPr="001C43F7">
          <w:rPr>
            <w:rStyle w:val="Hyperlink"/>
            <w:noProof/>
          </w:rPr>
          <w:t>Figure S2. Dose-response of MPT-0308 in immune-proficient MDOTS and immune-deficient spheroids.</w:t>
        </w:r>
        <w:r w:rsidR="00294206">
          <w:rPr>
            <w:noProof/>
            <w:webHidden/>
          </w:rPr>
          <w:tab/>
        </w:r>
        <w:r w:rsidR="00294206">
          <w:rPr>
            <w:noProof/>
            <w:webHidden/>
          </w:rPr>
          <w:fldChar w:fldCharType="begin"/>
        </w:r>
        <w:r w:rsidR="00294206">
          <w:rPr>
            <w:noProof/>
            <w:webHidden/>
          </w:rPr>
          <w:instrText xml:space="preserve"> PAGEREF _Toc108472486 \h </w:instrText>
        </w:r>
        <w:r w:rsidR="00294206">
          <w:rPr>
            <w:noProof/>
            <w:webHidden/>
          </w:rPr>
        </w:r>
        <w:r w:rsidR="00294206">
          <w:rPr>
            <w:noProof/>
            <w:webHidden/>
          </w:rPr>
          <w:fldChar w:fldCharType="separate"/>
        </w:r>
        <w:r w:rsidR="00294206">
          <w:rPr>
            <w:noProof/>
            <w:webHidden/>
          </w:rPr>
          <w:t>9</w:t>
        </w:r>
        <w:r w:rsidR="00294206">
          <w:rPr>
            <w:noProof/>
            <w:webHidden/>
          </w:rPr>
          <w:fldChar w:fldCharType="end"/>
        </w:r>
      </w:hyperlink>
    </w:p>
    <w:p w14:paraId="4FCA2DD7" w14:textId="28FE9409" w:rsidR="00215935" w:rsidRDefault="00215935" w:rsidP="00B17A87">
      <w:pPr>
        <w:pStyle w:val="Heading1"/>
        <w:sectPr w:rsidR="00215935">
          <w:pgSz w:w="12240" w:h="15840"/>
          <w:pgMar w:top="1440" w:right="1440" w:bottom="1440" w:left="1440" w:header="720" w:footer="720" w:gutter="0"/>
          <w:cols w:space="720"/>
          <w:docGrid w:linePitch="360"/>
        </w:sectPr>
      </w:pPr>
      <w:r>
        <w:fldChar w:fldCharType="end"/>
      </w:r>
    </w:p>
    <w:p w14:paraId="0B0D0B3A" w14:textId="1259DCA0" w:rsidR="009A0E09" w:rsidRDefault="00754A56" w:rsidP="00754A56">
      <w:pPr>
        <w:pStyle w:val="Heading1"/>
      </w:pPr>
      <w:bookmarkStart w:id="0" w:name="_Toc108434914"/>
      <w:bookmarkStart w:id="1" w:name="_Toc108472476"/>
      <w:r w:rsidRPr="00754A56">
        <w:lastRenderedPageBreak/>
        <w:t>1.</w:t>
      </w:r>
      <w:r>
        <w:t xml:space="preserve"> </w:t>
      </w:r>
      <w:r w:rsidR="009A0E09">
        <w:t>In Vivo Studies: Tumor Cell Preparation and Animal Care</w:t>
      </w:r>
      <w:bookmarkEnd w:id="0"/>
      <w:bookmarkEnd w:id="1"/>
    </w:p>
    <w:p w14:paraId="0E7469EB" w14:textId="77777777" w:rsidR="009A0E09" w:rsidRPr="00BA6889" w:rsidRDefault="009A0E09" w:rsidP="009A0E09">
      <w:r w:rsidRPr="00726E43">
        <w:rPr>
          <w:i/>
        </w:rPr>
        <w:t>Cell Preparation</w:t>
      </w:r>
    </w:p>
    <w:p w14:paraId="2310188A" w14:textId="77777777" w:rsidR="009A0E09" w:rsidRPr="00726E43" w:rsidRDefault="009A0E09" w:rsidP="009A0E09">
      <w:pPr>
        <w:rPr>
          <w:i/>
        </w:rPr>
      </w:pPr>
      <w:r w:rsidRPr="00726E43">
        <w:rPr>
          <w:u w:val="single"/>
        </w:rPr>
        <w:t>MC38 cells</w:t>
      </w:r>
      <w:r w:rsidRPr="00BA6889">
        <w:rPr>
          <w:i/>
        </w:rPr>
        <w:t xml:space="preserve">: </w:t>
      </w:r>
      <w:r w:rsidRPr="00726E43">
        <w:rPr>
          <w:i/>
          <w:sz w:val="22"/>
          <w:szCs w:val="22"/>
        </w:rPr>
        <w:t>C</w:t>
      </w:r>
      <w:r w:rsidRPr="007E2F31">
        <w:rPr>
          <w:sz w:val="22"/>
          <w:szCs w:val="22"/>
        </w:rPr>
        <w:t>ells were provided by Dr. Andrew Luster at Massachusetts General Hospital (Boston, MA, USA), who in turn had received them from Dr. Mark Smyth at the QIMR Berghofer Medical Research Institute (Brisbane, Australia). Cells were cultured in DMEM, supplemented with 10% FBS and 1% penicillin/streptomycin, in a humidified incubator at 37°C with 5% CO</w:t>
      </w:r>
      <w:r w:rsidRPr="007E2F31">
        <w:rPr>
          <w:position w:val="-2"/>
          <w:sz w:val="22"/>
          <w:szCs w:val="22"/>
        </w:rPr>
        <w:t>2</w:t>
      </w:r>
      <w:r w:rsidRPr="007E2F31">
        <w:rPr>
          <w:sz w:val="22"/>
          <w:szCs w:val="22"/>
        </w:rPr>
        <w:t xml:space="preserve">. </w:t>
      </w:r>
      <w:proofErr w:type="spellStart"/>
      <w:r w:rsidRPr="007E2F31">
        <w:rPr>
          <w:sz w:val="22"/>
          <w:szCs w:val="22"/>
        </w:rPr>
        <w:t>Normocin</w:t>
      </w:r>
      <w:proofErr w:type="spellEnd"/>
      <w:r w:rsidRPr="007E2F31">
        <w:rPr>
          <w:sz w:val="22"/>
          <w:szCs w:val="22"/>
        </w:rPr>
        <w:t xml:space="preserve"> was also added according to the manufacturer’s recommendation to prevent mycoplasma growth.</w:t>
      </w:r>
    </w:p>
    <w:p w14:paraId="3B8A3A81" w14:textId="77777777" w:rsidR="009A0E09" w:rsidRDefault="009A0E09" w:rsidP="009A0E09">
      <w:pPr>
        <w:rPr>
          <w:sz w:val="22"/>
          <w:szCs w:val="22"/>
        </w:rPr>
      </w:pPr>
      <w:r w:rsidRPr="00726E43">
        <w:rPr>
          <w:sz w:val="22"/>
          <w:szCs w:val="22"/>
          <w:u w:val="single"/>
        </w:rPr>
        <w:t>D4M.3A cells</w:t>
      </w:r>
      <w:r>
        <w:rPr>
          <w:sz w:val="22"/>
          <w:szCs w:val="22"/>
        </w:rPr>
        <w:t xml:space="preserve">: </w:t>
      </w:r>
      <w:r w:rsidRPr="007E2F31">
        <w:rPr>
          <w:sz w:val="22"/>
          <w:szCs w:val="22"/>
        </w:rPr>
        <w:t xml:space="preserve">Cells were provided by Dr. David Fisher, Massachusetts General Hospital (Boston, MA, USA). Cells were cultured in RPMI + L-glutamine, supplemented with 10% FBS, 1% penicillin/streptomycin solution, and 0.2% </w:t>
      </w:r>
      <w:proofErr w:type="spellStart"/>
      <w:r w:rsidRPr="007E2F31">
        <w:rPr>
          <w:sz w:val="22"/>
          <w:szCs w:val="22"/>
        </w:rPr>
        <w:t>normocin</w:t>
      </w:r>
      <w:proofErr w:type="spellEnd"/>
      <w:r w:rsidRPr="007E2F31">
        <w:rPr>
          <w:sz w:val="22"/>
          <w:szCs w:val="22"/>
        </w:rPr>
        <w:t>, in a humidified incubator at 37°C with 5% CO</w:t>
      </w:r>
      <w:r w:rsidRPr="007E2F31">
        <w:rPr>
          <w:position w:val="-2"/>
          <w:sz w:val="22"/>
          <w:szCs w:val="22"/>
        </w:rPr>
        <w:t>2</w:t>
      </w:r>
      <w:r w:rsidRPr="007E2F31">
        <w:rPr>
          <w:sz w:val="22"/>
          <w:szCs w:val="22"/>
        </w:rPr>
        <w:t>. Cells were split at 80% confluency and harvested for implantation at 70% confluency.</w:t>
      </w:r>
    </w:p>
    <w:p w14:paraId="40F32E92" w14:textId="77777777" w:rsidR="009A0E09" w:rsidRDefault="009A0E09" w:rsidP="009A0E09">
      <w:pPr>
        <w:rPr>
          <w:sz w:val="22"/>
          <w:szCs w:val="22"/>
        </w:rPr>
      </w:pPr>
      <w:r w:rsidRPr="00726E43">
        <w:rPr>
          <w:sz w:val="22"/>
          <w:szCs w:val="22"/>
          <w:u w:val="single"/>
        </w:rPr>
        <w:t>B16-F10 cells</w:t>
      </w:r>
      <w:r>
        <w:rPr>
          <w:sz w:val="22"/>
          <w:szCs w:val="22"/>
        </w:rPr>
        <w:t xml:space="preserve">: </w:t>
      </w:r>
      <w:r w:rsidRPr="007E2F31">
        <w:rPr>
          <w:sz w:val="22"/>
          <w:szCs w:val="22"/>
        </w:rPr>
        <w:t xml:space="preserve">Cells were purchased through ATCC (Manassas, VA, USA), and early aliquots were frozen for future use. Cells were cultured in RPMI + L-glutamine, supplemented with 10% FBS, 1% penicillin/streptomycin solution, and 0.2% </w:t>
      </w:r>
      <w:proofErr w:type="spellStart"/>
      <w:r w:rsidRPr="007E2F31">
        <w:rPr>
          <w:sz w:val="22"/>
          <w:szCs w:val="22"/>
        </w:rPr>
        <w:t>normocin</w:t>
      </w:r>
      <w:proofErr w:type="spellEnd"/>
      <w:r w:rsidRPr="007E2F31">
        <w:rPr>
          <w:sz w:val="22"/>
          <w:szCs w:val="22"/>
        </w:rPr>
        <w:t>, in a humidified incubator at 37°C with 5% CO</w:t>
      </w:r>
      <w:r w:rsidRPr="007E2F31">
        <w:rPr>
          <w:sz w:val="22"/>
          <w:szCs w:val="22"/>
          <w:vertAlign w:val="subscript"/>
        </w:rPr>
        <w:t>2</w:t>
      </w:r>
      <w:r w:rsidRPr="007E2F31">
        <w:rPr>
          <w:sz w:val="22"/>
          <w:szCs w:val="22"/>
        </w:rPr>
        <w:t>. Cells were split at 80% confluency and harvested for implantation at 70% confluency.</w:t>
      </w:r>
    </w:p>
    <w:p w14:paraId="4C4E6A5C" w14:textId="77777777" w:rsidR="009A0E09" w:rsidRDefault="009A0E09" w:rsidP="009A0E09">
      <w:pPr>
        <w:rPr>
          <w:i/>
        </w:rPr>
      </w:pPr>
      <w:r w:rsidRPr="00BA6889">
        <w:rPr>
          <w:i/>
        </w:rPr>
        <w:t>Animal Care</w:t>
      </w:r>
    </w:p>
    <w:p w14:paraId="775324A9" w14:textId="77777777" w:rsidR="009A0E09" w:rsidRDefault="009A0E09" w:rsidP="009A0E09">
      <w:pPr>
        <w:rPr>
          <w:sz w:val="22"/>
          <w:szCs w:val="22"/>
        </w:rPr>
      </w:pPr>
      <w:r w:rsidRPr="00726E43">
        <w:rPr>
          <w:sz w:val="22"/>
          <w:szCs w:val="22"/>
          <w:u w:val="single"/>
        </w:rPr>
        <w:t>In vivo mouse studies with C57BL/6J mice</w:t>
      </w:r>
      <w:r>
        <w:rPr>
          <w:sz w:val="22"/>
          <w:szCs w:val="22"/>
        </w:rPr>
        <w:t xml:space="preserve">: </w:t>
      </w:r>
      <w:r w:rsidRPr="007E2F31">
        <w:rPr>
          <w:sz w:val="22"/>
          <w:szCs w:val="22"/>
        </w:rPr>
        <w:t xml:space="preserve">Studies were performed by Rincon Bio (Salt Lake City, UT, USA). Mice were fed </w:t>
      </w:r>
      <w:proofErr w:type="spellStart"/>
      <w:r w:rsidRPr="007E2F31">
        <w:rPr>
          <w:sz w:val="22"/>
          <w:szCs w:val="22"/>
        </w:rPr>
        <w:t>Teklad</w:t>
      </w:r>
      <w:proofErr w:type="spellEnd"/>
      <w:r w:rsidRPr="007E2F31">
        <w:rPr>
          <w:sz w:val="22"/>
          <w:szCs w:val="22"/>
        </w:rPr>
        <w:t xml:space="preserve"> irradiated (sterilized) mouse diet and bedded with </w:t>
      </w:r>
      <w:proofErr w:type="spellStart"/>
      <w:r w:rsidRPr="007E2F31">
        <w:rPr>
          <w:sz w:val="22"/>
          <w:szCs w:val="22"/>
        </w:rPr>
        <w:t>Teklad</w:t>
      </w:r>
      <w:proofErr w:type="spellEnd"/>
      <w:r w:rsidRPr="007E2F31">
        <w:rPr>
          <w:sz w:val="22"/>
          <w:szCs w:val="22"/>
        </w:rPr>
        <w:t xml:space="preserve"> irradiated (sterilized) corncob bedding (Envigo; Indianapolis, IN, USA). Mice were housed in </w:t>
      </w:r>
      <w:proofErr w:type="spellStart"/>
      <w:r w:rsidRPr="007E2F31">
        <w:rPr>
          <w:sz w:val="22"/>
          <w:szCs w:val="22"/>
        </w:rPr>
        <w:t>Optimice</w:t>
      </w:r>
      <w:proofErr w:type="spellEnd"/>
      <w:r w:rsidRPr="007E2F31">
        <w:rPr>
          <w:sz w:val="22"/>
          <w:szCs w:val="22"/>
        </w:rPr>
        <w:t xml:space="preserve"> carousel sterile quarters with filtered air supply in disposable cages (Animal Care Systems, Inc.; Centennial, CO, USA). Animals also received hydrogel during dosing period.</w:t>
      </w:r>
    </w:p>
    <w:p w14:paraId="4BB24E0C" w14:textId="780A1A03" w:rsidR="009A0E09" w:rsidRPr="00BA6889" w:rsidRDefault="009A0E09" w:rsidP="009A0E09">
      <w:r w:rsidRPr="00726E43">
        <w:rPr>
          <w:sz w:val="22"/>
          <w:szCs w:val="22"/>
          <w:u w:val="single"/>
        </w:rPr>
        <w:t>In vivo rat studies with female Harlan Sprague Dawley rats</w:t>
      </w:r>
      <w:r>
        <w:rPr>
          <w:sz w:val="22"/>
          <w:szCs w:val="22"/>
        </w:rPr>
        <w:t xml:space="preserve">: </w:t>
      </w:r>
      <w:r w:rsidRPr="007E2F31">
        <w:rPr>
          <w:sz w:val="22"/>
          <w:szCs w:val="22"/>
        </w:rPr>
        <w:t xml:space="preserve">Study was performed by Rincon Bio (Salt Lake City, UT, USA). Rats were fed </w:t>
      </w:r>
      <w:proofErr w:type="spellStart"/>
      <w:r w:rsidRPr="007E2F31">
        <w:rPr>
          <w:sz w:val="22"/>
          <w:szCs w:val="22"/>
        </w:rPr>
        <w:t>Teklad</w:t>
      </w:r>
      <w:proofErr w:type="spellEnd"/>
      <w:r w:rsidRPr="007E2F31">
        <w:rPr>
          <w:sz w:val="22"/>
          <w:szCs w:val="22"/>
        </w:rPr>
        <w:t xml:space="preserve"> rodent diet and bedded with </w:t>
      </w:r>
      <w:proofErr w:type="spellStart"/>
      <w:r w:rsidRPr="007E2F31">
        <w:rPr>
          <w:sz w:val="22"/>
          <w:szCs w:val="22"/>
        </w:rPr>
        <w:t>Teklad</w:t>
      </w:r>
      <w:proofErr w:type="spellEnd"/>
      <w:r w:rsidRPr="007E2F31">
        <w:rPr>
          <w:sz w:val="22"/>
          <w:szCs w:val="22"/>
        </w:rPr>
        <w:t xml:space="preserve"> corncob bedding (</w:t>
      </w:r>
      <w:proofErr w:type="spellStart"/>
      <w:r w:rsidRPr="007E2F31">
        <w:rPr>
          <w:sz w:val="22"/>
          <w:szCs w:val="22"/>
        </w:rPr>
        <w:t>Envigo</w:t>
      </w:r>
      <w:proofErr w:type="spellEnd"/>
      <w:r w:rsidRPr="007E2F31">
        <w:rPr>
          <w:sz w:val="22"/>
          <w:szCs w:val="22"/>
        </w:rPr>
        <w:t xml:space="preserve">). Rats were individually housed in an </w:t>
      </w:r>
      <w:proofErr w:type="spellStart"/>
      <w:r w:rsidRPr="007E2F31">
        <w:rPr>
          <w:sz w:val="22"/>
          <w:szCs w:val="22"/>
        </w:rPr>
        <w:t>Optirat</w:t>
      </w:r>
      <w:proofErr w:type="spellEnd"/>
      <w:r w:rsidRPr="007E2F31">
        <w:rPr>
          <w:sz w:val="22"/>
          <w:szCs w:val="22"/>
        </w:rPr>
        <w:t xml:space="preserve"> carousel with a filtered air supply (Animal Care Systems, Inc.).</w:t>
      </w:r>
    </w:p>
    <w:p w14:paraId="31A56622" w14:textId="5DF1CBD6" w:rsidR="00500244" w:rsidRPr="00500244" w:rsidRDefault="00754A56" w:rsidP="00B17A87">
      <w:pPr>
        <w:pStyle w:val="Heading1"/>
      </w:pPr>
      <w:bookmarkStart w:id="2" w:name="_Toc108434915"/>
      <w:bookmarkStart w:id="3" w:name="_Toc108472477"/>
      <w:r>
        <w:lastRenderedPageBreak/>
        <w:t xml:space="preserve">2. </w:t>
      </w:r>
      <w:r w:rsidR="00500244" w:rsidRPr="00500244">
        <w:t>Generation of the anti-</w:t>
      </w:r>
      <w:proofErr w:type="spellStart"/>
      <w:r w:rsidR="00500244" w:rsidRPr="00500244">
        <w:t>neoCYLDct</w:t>
      </w:r>
      <w:proofErr w:type="spellEnd"/>
      <w:r w:rsidR="00500244" w:rsidRPr="00500244">
        <w:t xml:space="preserve"> </w:t>
      </w:r>
      <w:r w:rsidR="002F2D2D">
        <w:t>monoclonal antibody</w:t>
      </w:r>
      <w:bookmarkEnd w:id="2"/>
      <w:bookmarkEnd w:id="3"/>
    </w:p>
    <w:p w14:paraId="314BEFC8" w14:textId="64B29D41" w:rsidR="00500244" w:rsidRDefault="00E64949" w:rsidP="00B17A87">
      <w:pPr>
        <w:autoSpaceDE w:val="0"/>
        <w:autoSpaceDN w:val="0"/>
        <w:adjustRightInd w:val="0"/>
        <w:rPr>
          <w:rFonts w:cstheme="minorHAnsi"/>
        </w:rPr>
      </w:pPr>
      <w:r>
        <w:rPr>
          <w:rFonts w:cstheme="minorHAnsi"/>
        </w:rPr>
        <w:t xml:space="preserve">Experiments were performed in compliance with the German Animal Welfare Law and </w:t>
      </w:r>
      <w:r w:rsidR="001511DD">
        <w:rPr>
          <w:rFonts w:cstheme="minorHAnsi"/>
        </w:rPr>
        <w:t>were</w:t>
      </w:r>
      <w:r>
        <w:rPr>
          <w:rFonts w:cstheme="minorHAnsi"/>
        </w:rPr>
        <w:t xml:space="preserve"> approved by the institutional committee on animal experimentation and the government of Upper Bavaria (approved No. </w:t>
      </w:r>
      <w:r w:rsidRPr="00C72735">
        <w:t>ROB-55.2-2532.Vet_03-17-68).</w:t>
      </w:r>
      <w:r w:rsidR="001511DD">
        <w:t xml:space="preserve"> </w:t>
      </w:r>
      <w:r w:rsidR="00500244">
        <w:rPr>
          <w:rFonts w:cstheme="minorHAnsi"/>
        </w:rPr>
        <w:t xml:space="preserve">Mouse monoclonal antibodies were generated by immunization of BALB/c mice with a peptide comprising MALT1-cleaved CYLD </w:t>
      </w:r>
      <w:r w:rsidR="00D76D60">
        <w:rPr>
          <w:rFonts w:cstheme="minorHAnsi"/>
        </w:rPr>
        <w:t>neoepitope</w:t>
      </w:r>
      <w:r w:rsidR="00500244">
        <w:rPr>
          <w:rFonts w:cstheme="minorHAnsi"/>
        </w:rPr>
        <w:t xml:space="preserve"> NH</w:t>
      </w:r>
      <w:r w:rsidR="00500244" w:rsidRPr="0013262E">
        <w:rPr>
          <w:rFonts w:cstheme="minorHAnsi"/>
          <w:vertAlign w:val="subscript"/>
        </w:rPr>
        <w:t>2</w:t>
      </w:r>
      <w:r w:rsidR="0044221F">
        <w:rPr>
          <w:rFonts w:cstheme="minorHAnsi"/>
        </w:rPr>
        <w:t>-GVGDKGSS (CYLD[</w:t>
      </w:r>
      <w:r w:rsidR="00500244">
        <w:rPr>
          <w:rFonts w:cstheme="minorHAnsi"/>
        </w:rPr>
        <w:t>325-332</w:t>
      </w:r>
      <w:r w:rsidR="0044221F">
        <w:rPr>
          <w:rFonts w:cstheme="minorHAnsi"/>
        </w:rPr>
        <w:t>]</w:t>
      </w:r>
      <w:r w:rsidR="00500244">
        <w:rPr>
          <w:rFonts w:cstheme="minorHAnsi"/>
        </w:rPr>
        <w:t xml:space="preserve">) coupled to ovalbumin (Peps4LS; Heidelberg, Germany). Animals were injected subcutaneously and intraperitoneally with a mixture of 40 </w:t>
      </w:r>
      <w:proofErr w:type="spellStart"/>
      <w:r w:rsidR="00500244">
        <w:rPr>
          <w:rFonts w:cstheme="minorHAnsi"/>
        </w:rPr>
        <w:t>μg</w:t>
      </w:r>
      <w:proofErr w:type="spellEnd"/>
      <w:r w:rsidR="00500244">
        <w:rPr>
          <w:rFonts w:cstheme="minorHAnsi"/>
        </w:rPr>
        <w:t xml:space="preserve"> peptide, 5 nmol CpG (Tib </w:t>
      </w:r>
      <w:proofErr w:type="spellStart"/>
      <w:r w:rsidR="00500244">
        <w:rPr>
          <w:rFonts w:cstheme="minorHAnsi"/>
        </w:rPr>
        <w:t>Molbiol</w:t>
      </w:r>
      <w:proofErr w:type="spellEnd"/>
      <w:r w:rsidR="00500244">
        <w:rPr>
          <w:rFonts w:cstheme="minorHAnsi"/>
        </w:rPr>
        <w:t>; Berlin, Germany) and an equal volume of incomplete Freund’s adjuvant. A booster injection was given 10 weeks later without Freund’s adjuvant, and spleen cells were fused three days later with P3X63Ag8.653 myeloma cells using standard procedures. Hybridoma supernatants were screened in a flow cytometry assay (</w:t>
      </w:r>
      <w:proofErr w:type="spellStart"/>
      <w:r w:rsidR="00500244">
        <w:rPr>
          <w:rFonts w:cstheme="minorHAnsi"/>
        </w:rPr>
        <w:t>iQue</w:t>
      </w:r>
      <w:proofErr w:type="spellEnd"/>
      <w:r w:rsidR="00500244" w:rsidRPr="005B32D6">
        <w:rPr>
          <w:rFonts w:cstheme="minorHAnsi"/>
          <w:vertAlign w:val="superscript"/>
        </w:rPr>
        <w:t>®</w:t>
      </w:r>
      <w:r w:rsidR="00500244">
        <w:rPr>
          <w:rFonts w:cstheme="minorHAnsi"/>
        </w:rPr>
        <w:t xml:space="preserve"> [Sartorius; </w:t>
      </w:r>
      <w:proofErr w:type="spellStart"/>
      <w:r w:rsidR="00500244" w:rsidRPr="002E44B4">
        <w:rPr>
          <w:rFonts w:cstheme="minorHAnsi"/>
        </w:rPr>
        <w:t>Goettingen</w:t>
      </w:r>
      <w:proofErr w:type="spellEnd"/>
      <w:r w:rsidR="00500244">
        <w:rPr>
          <w:rFonts w:cstheme="minorHAnsi"/>
        </w:rPr>
        <w:t xml:space="preserve">, </w:t>
      </w:r>
      <w:r w:rsidR="00500244" w:rsidRPr="002E44B4">
        <w:rPr>
          <w:rFonts w:cstheme="minorHAnsi"/>
        </w:rPr>
        <w:t>Germany</w:t>
      </w:r>
      <w:r w:rsidR="00500244">
        <w:rPr>
          <w:rFonts w:cstheme="minorHAnsi"/>
        </w:rPr>
        <w:t>]</w:t>
      </w:r>
      <w:r w:rsidR="00500244" w:rsidRPr="002E44B4">
        <w:rPr>
          <w:rFonts w:cstheme="minorHAnsi"/>
        </w:rPr>
        <w:t xml:space="preserve">) on </w:t>
      </w:r>
      <w:r w:rsidR="00500244" w:rsidRPr="00DF3AF3">
        <w:rPr>
          <w:rFonts w:cstheme="minorHAnsi"/>
        </w:rPr>
        <w:t>biotinylated CYLD neoepitope peptide captured on streptavidin beads (</w:t>
      </w:r>
      <w:proofErr w:type="spellStart"/>
      <w:r w:rsidR="00500244" w:rsidRPr="00DF3AF3">
        <w:rPr>
          <w:rFonts w:cstheme="minorHAnsi"/>
        </w:rPr>
        <w:t>PolyAN</w:t>
      </w:r>
      <w:proofErr w:type="spellEnd"/>
      <w:r w:rsidR="00500244">
        <w:rPr>
          <w:rFonts w:cstheme="minorHAnsi"/>
        </w:rPr>
        <w:t>;</w:t>
      </w:r>
      <w:r w:rsidR="00500244" w:rsidRPr="00DF3AF3">
        <w:rPr>
          <w:rFonts w:cstheme="minorHAnsi"/>
        </w:rPr>
        <w:t xml:space="preserve"> Berlin, Germany) and incubated for 90 min</w:t>
      </w:r>
      <w:r w:rsidR="00500244">
        <w:rPr>
          <w:rFonts w:cstheme="minorHAnsi"/>
        </w:rPr>
        <w:t>utes</w:t>
      </w:r>
      <w:r w:rsidR="00500244" w:rsidRPr="00DF3AF3">
        <w:rPr>
          <w:rFonts w:cstheme="minorHAnsi"/>
        </w:rPr>
        <w:t xml:space="preserve"> with hybridoma supernatant and Atto-488-coupled isotype-specific monoclonal rat-anti-mouse IgG secondary antibodies. CYLD peptide with N-terminal His tag served as </w:t>
      </w:r>
      <w:r w:rsidR="00500244">
        <w:rPr>
          <w:rFonts w:cstheme="minorHAnsi"/>
        </w:rPr>
        <w:t xml:space="preserve">the </w:t>
      </w:r>
      <w:r w:rsidR="00500244" w:rsidRPr="00DF3AF3">
        <w:rPr>
          <w:rFonts w:cstheme="minorHAnsi"/>
        </w:rPr>
        <w:t xml:space="preserve">control to exclude antibodies binding to uncleaved CYLD. Antibody binding was analyzed using </w:t>
      </w:r>
      <w:proofErr w:type="spellStart"/>
      <w:r w:rsidR="00500244" w:rsidRPr="00DF3AF3">
        <w:rPr>
          <w:rFonts w:cstheme="minorHAnsi"/>
        </w:rPr>
        <w:t>ForeCyt</w:t>
      </w:r>
      <w:proofErr w:type="spellEnd"/>
      <w:r w:rsidR="00500244" w:rsidRPr="00DF3AF3">
        <w:rPr>
          <w:rFonts w:cstheme="minorHAnsi"/>
        </w:rPr>
        <w:t xml:space="preserve"> software (</w:t>
      </w:r>
      <w:r w:rsidR="00D76D60" w:rsidRPr="00D76D60">
        <w:rPr>
          <w:rFonts w:cstheme="minorHAnsi"/>
        </w:rPr>
        <w:t>Version 9.0</w:t>
      </w:r>
      <w:r w:rsidR="00095DBF">
        <w:rPr>
          <w:rFonts w:cstheme="minorHAnsi"/>
        </w:rPr>
        <w:t xml:space="preserve"> </w:t>
      </w:r>
      <w:r w:rsidR="00500244">
        <w:rPr>
          <w:rFonts w:cstheme="minorHAnsi"/>
        </w:rPr>
        <w:t>[</w:t>
      </w:r>
      <w:r w:rsidR="00500244" w:rsidRPr="00DF3AF3">
        <w:rPr>
          <w:rFonts w:cstheme="minorHAnsi"/>
        </w:rPr>
        <w:t>Sartorius</w:t>
      </w:r>
      <w:r w:rsidR="00500244">
        <w:rPr>
          <w:rFonts w:cstheme="minorHAnsi"/>
        </w:rPr>
        <w:t xml:space="preserve">; </w:t>
      </w:r>
      <w:proofErr w:type="spellStart"/>
      <w:r w:rsidR="00500244" w:rsidRPr="002E44B4">
        <w:rPr>
          <w:rFonts w:cstheme="minorHAnsi"/>
        </w:rPr>
        <w:t>Goettingen</w:t>
      </w:r>
      <w:proofErr w:type="spellEnd"/>
      <w:r w:rsidR="00500244">
        <w:rPr>
          <w:rFonts w:cstheme="minorHAnsi"/>
        </w:rPr>
        <w:t xml:space="preserve">, </w:t>
      </w:r>
      <w:r w:rsidR="00500244" w:rsidRPr="002E44B4">
        <w:rPr>
          <w:rFonts w:cstheme="minorHAnsi"/>
        </w:rPr>
        <w:t>Germany</w:t>
      </w:r>
      <w:r w:rsidR="00500244">
        <w:rPr>
          <w:rFonts w:cstheme="minorHAnsi"/>
        </w:rPr>
        <w:t>]</w:t>
      </w:r>
      <w:r w:rsidR="00500244" w:rsidRPr="00DF3AF3">
        <w:rPr>
          <w:rFonts w:cstheme="minorHAnsi"/>
        </w:rPr>
        <w:t>). Neoepitope-specific supernatants were further validated in Western blot and flow cytometry analyses on Jurkat wild</w:t>
      </w:r>
      <w:r w:rsidR="001F50DC">
        <w:rPr>
          <w:rFonts w:cstheme="minorHAnsi"/>
        </w:rPr>
        <w:t xml:space="preserve"> </w:t>
      </w:r>
      <w:r w:rsidR="00500244" w:rsidRPr="00DF3AF3">
        <w:rPr>
          <w:rFonts w:cstheme="minorHAnsi"/>
        </w:rPr>
        <w:t>type and M</w:t>
      </w:r>
      <w:r w:rsidR="00500244">
        <w:rPr>
          <w:rFonts w:cstheme="minorHAnsi"/>
        </w:rPr>
        <w:t>ALT</w:t>
      </w:r>
      <w:r w:rsidR="00500244" w:rsidRPr="00DF3AF3">
        <w:rPr>
          <w:rFonts w:cstheme="minorHAnsi"/>
        </w:rPr>
        <w:t>1 knock</w:t>
      </w:r>
      <w:r w:rsidR="00500244">
        <w:rPr>
          <w:rFonts w:cstheme="minorHAnsi"/>
        </w:rPr>
        <w:t>-</w:t>
      </w:r>
      <w:r w:rsidR="00500244" w:rsidRPr="00DF3AF3">
        <w:rPr>
          <w:rFonts w:cstheme="minorHAnsi"/>
        </w:rPr>
        <w:t xml:space="preserve">out cells. Hybridoma cells from selected clones were subcloned by limiting dilution to obtain stable monoclonal cell lines. </w:t>
      </w:r>
      <w:r w:rsidR="00500244">
        <w:rPr>
          <w:rFonts w:cstheme="minorHAnsi"/>
        </w:rPr>
        <w:t xml:space="preserve">The </w:t>
      </w:r>
      <w:r w:rsidR="00500244" w:rsidRPr="00DF3AF3">
        <w:rPr>
          <w:rFonts w:cstheme="minorHAnsi"/>
        </w:rPr>
        <w:t xml:space="preserve">hybridoma supernatant </w:t>
      </w:r>
      <w:r w:rsidR="002F2D2D">
        <w:rPr>
          <w:rFonts w:cstheme="minorHAnsi"/>
        </w:rPr>
        <w:t xml:space="preserve">producing </w:t>
      </w:r>
      <w:r w:rsidR="00CD78C8">
        <w:rPr>
          <w:rFonts w:cstheme="minorHAnsi"/>
        </w:rPr>
        <w:t>anti-</w:t>
      </w:r>
      <w:proofErr w:type="spellStart"/>
      <w:r w:rsidR="002F2D2D">
        <w:rPr>
          <w:rFonts w:cstheme="minorHAnsi"/>
        </w:rPr>
        <w:t>neoCYLDct</w:t>
      </w:r>
      <w:proofErr w:type="spellEnd"/>
      <w:r w:rsidR="002F2D2D">
        <w:rPr>
          <w:rFonts w:cstheme="minorHAnsi"/>
        </w:rPr>
        <w:t xml:space="preserve"> (clone 25F10; IgG2a/ƙ)</w:t>
      </w:r>
      <w:r w:rsidR="00500244">
        <w:rPr>
          <w:rFonts w:cstheme="minorHAnsi"/>
        </w:rPr>
        <w:t xml:space="preserve"> was </w:t>
      </w:r>
      <w:r w:rsidR="00500244" w:rsidRPr="00500244">
        <w:rPr>
          <w:rFonts w:cstheme="minorHAnsi"/>
        </w:rPr>
        <w:t xml:space="preserve">selected for use in CYLD cleavage </w:t>
      </w:r>
      <w:r w:rsidR="00F629EF">
        <w:rPr>
          <w:rFonts w:cstheme="minorHAnsi"/>
        </w:rPr>
        <w:t xml:space="preserve">cell </w:t>
      </w:r>
      <w:r w:rsidR="00500244" w:rsidRPr="00500244">
        <w:rPr>
          <w:rFonts w:cstheme="minorHAnsi"/>
        </w:rPr>
        <w:t>assays.</w:t>
      </w:r>
      <w:r w:rsidR="00500244" w:rsidRPr="00DF3AF3">
        <w:rPr>
          <w:rFonts w:cstheme="minorHAnsi"/>
        </w:rPr>
        <w:t xml:space="preserve"> </w:t>
      </w:r>
    </w:p>
    <w:p w14:paraId="60EE50C3" w14:textId="77777777" w:rsidR="003C03FA" w:rsidRPr="0039420E" w:rsidRDefault="003C03FA" w:rsidP="003C03FA">
      <w:r w:rsidRPr="008E7E08">
        <w:rPr>
          <w:i/>
        </w:rPr>
        <w:t>Intracellular CYLD neo-antibody staining</w:t>
      </w:r>
      <w:r w:rsidRPr="00041A3E">
        <w:rPr>
          <w:i/>
        </w:rPr>
        <w:t xml:space="preserve"> in</w:t>
      </w:r>
      <w:r>
        <w:rPr>
          <w:i/>
        </w:rPr>
        <w:t xml:space="preserve"> </w:t>
      </w:r>
      <w:proofErr w:type="spellStart"/>
      <w:r>
        <w:rPr>
          <w:i/>
        </w:rPr>
        <w:t>Jurkat</w:t>
      </w:r>
      <w:proofErr w:type="spellEnd"/>
      <w:r>
        <w:rPr>
          <w:i/>
        </w:rPr>
        <w:t xml:space="preserve"> T cells.</w:t>
      </w:r>
      <w:r>
        <w:t xml:space="preserve"> </w:t>
      </w:r>
      <w:proofErr w:type="spellStart"/>
      <w:r w:rsidRPr="0039420E">
        <w:t>Jurkat</w:t>
      </w:r>
      <w:proofErr w:type="spellEnd"/>
      <w:r w:rsidRPr="0039420E">
        <w:t xml:space="preserve"> T cells were treated with </w:t>
      </w:r>
      <w:r>
        <w:t xml:space="preserve">the </w:t>
      </w:r>
      <w:r w:rsidRPr="0039420E">
        <w:t>indicated concentrations of MPT-0308 for 1h and stimulated for 2h with PMA (200 ng/mL</w:t>
      </w:r>
      <w:r>
        <w:t xml:space="preserve">) and </w:t>
      </w:r>
      <w:r w:rsidRPr="0039420E">
        <w:t>CD28 (300</w:t>
      </w:r>
      <w:r>
        <w:t xml:space="preserve"> </w:t>
      </w:r>
      <w:r w:rsidRPr="0039420E">
        <w:t>ng/mL</w:t>
      </w:r>
      <w:r>
        <w:t xml:space="preserve"> [BD Pharmingen]</w:t>
      </w:r>
      <w:r w:rsidRPr="0039420E">
        <w:t xml:space="preserve">). Cells were centrifuged (400 x g, 5 min, 4°C) and washed twice with </w:t>
      </w:r>
      <w:r w:rsidRPr="004D59B5">
        <w:t xml:space="preserve">fluorescence-activated cell sorting </w:t>
      </w:r>
      <w:r>
        <w:t>(</w:t>
      </w:r>
      <w:r w:rsidRPr="0039420E">
        <w:t>FACS</w:t>
      </w:r>
      <w:r>
        <w:t>)</w:t>
      </w:r>
      <w:r w:rsidRPr="0039420E">
        <w:t xml:space="preserve"> buffer</w:t>
      </w:r>
      <w:r>
        <w:t>,</w:t>
      </w:r>
      <w:r w:rsidRPr="0039420E">
        <w:t xml:space="preserve"> fixed in 2% paraformaldehyde for 15 min at room temperature (RT), and permeabilized in 70% ice-cold methanol for 20 minutes at 4°C. Fc block was performed using anti-human CD16/CD32 (</w:t>
      </w:r>
      <w:proofErr w:type="spellStart"/>
      <w:r w:rsidRPr="0039420E">
        <w:t>eBioscience</w:t>
      </w:r>
      <w:proofErr w:type="spellEnd"/>
      <w:r w:rsidRPr="0039420E">
        <w:t>, 9161-73; 1:50 in FACS buffer). Cells were stained with anti-</w:t>
      </w:r>
      <w:proofErr w:type="spellStart"/>
      <w:r w:rsidRPr="0039420E">
        <w:t>neoCYLDct</w:t>
      </w:r>
      <w:proofErr w:type="spellEnd"/>
      <w:r w:rsidRPr="0039420E">
        <w:t xml:space="preserve"> antibody (</w:t>
      </w:r>
      <w:r>
        <w:t>clone</w:t>
      </w:r>
      <w:r w:rsidRPr="0039420E">
        <w:t xml:space="preserve"> 25F10;</w:t>
      </w:r>
      <w:r>
        <w:t xml:space="preserve"> </w:t>
      </w:r>
      <w:r w:rsidRPr="0039420E">
        <w:t>1:100 in FACS buffer) for 30 minutes at 4°C. After washing, cells were treated with rat anti-mouse IgG2a Alexa Fluor 488-conjugated secondary antibody (</w:t>
      </w:r>
      <w:proofErr w:type="spellStart"/>
      <w:r w:rsidRPr="0039420E">
        <w:rPr>
          <w:rFonts w:eastAsia="Times New Roman"/>
          <w:color w:val="000000"/>
          <w:lang w:eastAsia="de-DE"/>
        </w:rPr>
        <w:t>Biozol</w:t>
      </w:r>
      <w:proofErr w:type="spellEnd"/>
      <w:r w:rsidRPr="0039420E">
        <w:rPr>
          <w:rFonts w:eastAsia="Times New Roman"/>
          <w:color w:val="000000"/>
          <w:lang w:eastAsia="de-DE"/>
        </w:rPr>
        <w:t xml:space="preserve"> </w:t>
      </w:r>
      <w:proofErr w:type="spellStart"/>
      <w:r w:rsidRPr="0039420E">
        <w:rPr>
          <w:rFonts w:eastAsia="Times New Roman"/>
          <w:color w:val="000000"/>
          <w:lang w:eastAsia="de-DE"/>
        </w:rPr>
        <w:t>Diagnostica</w:t>
      </w:r>
      <w:proofErr w:type="spellEnd"/>
      <w:r w:rsidRPr="0039420E">
        <w:rPr>
          <w:rFonts w:eastAsia="Times New Roman"/>
          <w:color w:val="000000"/>
          <w:lang w:eastAsia="de-DE"/>
        </w:rPr>
        <w:t xml:space="preserve">; 1:200 in FACS buffer) for 30 </w:t>
      </w:r>
      <w:r w:rsidRPr="0039420E">
        <w:rPr>
          <w:rFonts w:eastAsia="Times New Roman"/>
          <w:color w:val="000000"/>
          <w:lang w:eastAsia="de-DE"/>
        </w:rPr>
        <w:lastRenderedPageBreak/>
        <w:t xml:space="preserve">minutes at 4°C. To wash out unbound antibodies, cells were washed twice with PBS (second wash was incubated &gt;15 min at RT). Cells were resuspended in FACS </w:t>
      </w:r>
      <w:proofErr w:type="gramStart"/>
      <w:r w:rsidRPr="0039420E">
        <w:rPr>
          <w:rFonts w:eastAsia="Times New Roman"/>
          <w:color w:val="000000"/>
          <w:lang w:eastAsia="de-DE"/>
        </w:rPr>
        <w:t>buffer, and</w:t>
      </w:r>
      <w:proofErr w:type="gramEnd"/>
      <w:r w:rsidRPr="0039420E">
        <w:rPr>
          <w:rFonts w:eastAsia="Times New Roman"/>
          <w:color w:val="000000"/>
          <w:lang w:eastAsia="de-DE"/>
        </w:rPr>
        <w:t xml:space="preserve"> acquired using an Attune Acoustic Focusing Cytometer (</w:t>
      </w:r>
      <w:r>
        <w:rPr>
          <w:rFonts w:eastAsia="Times New Roman"/>
          <w:color w:val="000000"/>
          <w:lang w:eastAsia="de-DE"/>
        </w:rPr>
        <w:t>Thermo Fisher Scientific</w:t>
      </w:r>
      <w:r w:rsidRPr="0039420E">
        <w:rPr>
          <w:rFonts w:eastAsia="Times New Roman"/>
          <w:color w:val="000000"/>
          <w:lang w:eastAsia="de-DE"/>
        </w:rPr>
        <w:t>).</w:t>
      </w:r>
      <w:r>
        <w:rPr>
          <w:rFonts w:eastAsia="Times New Roman"/>
          <w:color w:val="000000"/>
          <w:lang w:eastAsia="de-DE"/>
        </w:rPr>
        <w:t xml:space="preserve"> </w:t>
      </w:r>
      <w:r w:rsidRPr="004D59B5">
        <w:rPr>
          <w:rFonts w:eastAsia="Times New Roman"/>
          <w:color w:val="000000"/>
          <w:lang w:eastAsia="de-DE"/>
        </w:rPr>
        <w:t xml:space="preserve">For analysis, </w:t>
      </w:r>
      <w:r>
        <w:rPr>
          <w:rFonts w:eastAsia="Times New Roman"/>
          <w:color w:val="000000"/>
          <w:lang w:eastAsia="de-DE"/>
        </w:rPr>
        <w:t>differences in</w:t>
      </w:r>
      <w:r w:rsidRPr="004D59B5">
        <w:rPr>
          <w:rFonts w:eastAsia="Times New Roman"/>
          <w:color w:val="000000"/>
          <w:lang w:eastAsia="de-DE"/>
        </w:rPr>
        <w:t xml:space="preserve"> </w:t>
      </w:r>
      <w:r>
        <w:rPr>
          <w:rFonts w:eastAsia="Times New Roman"/>
          <w:color w:val="000000"/>
          <w:lang w:eastAsia="de-DE"/>
        </w:rPr>
        <w:t>m</w:t>
      </w:r>
      <w:r w:rsidRPr="004D59B5">
        <w:rPr>
          <w:rFonts w:eastAsia="Times New Roman"/>
          <w:color w:val="000000"/>
          <w:lang w:eastAsia="de-DE"/>
        </w:rPr>
        <w:t xml:space="preserve">edian </w:t>
      </w:r>
      <w:r>
        <w:rPr>
          <w:rFonts w:eastAsia="Times New Roman"/>
          <w:color w:val="000000"/>
          <w:lang w:eastAsia="de-DE"/>
        </w:rPr>
        <w:t>f</w:t>
      </w:r>
      <w:r w:rsidRPr="004D59B5">
        <w:rPr>
          <w:rFonts w:eastAsia="Times New Roman"/>
          <w:color w:val="000000"/>
          <w:lang w:eastAsia="de-DE"/>
        </w:rPr>
        <w:t xml:space="preserve">luorescence </w:t>
      </w:r>
      <w:r>
        <w:rPr>
          <w:rFonts w:eastAsia="Times New Roman"/>
          <w:color w:val="000000"/>
          <w:lang w:eastAsia="de-DE"/>
        </w:rPr>
        <w:t>i</w:t>
      </w:r>
      <w:r w:rsidRPr="004D59B5">
        <w:rPr>
          <w:rFonts w:eastAsia="Times New Roman"/>
          <w:color w:val="000000"/>
          <w:lang w:eastAsia="de-DE"/>
        </w:rPr>
        <w:t>ntensity</w:t>
      </w:r>
      <w:r>
        <w:rPr>
          <w:rFonts w:eastAsia="Times New Roman"/>
          <w:color w:val="000000"/>
          <w:lang w:eastAsia="de-DE"/>
        </w:rPr>
        <w:t xml:space="preserve"> (MFI</w:t>
      </w:r>
      <w:r w:rsidRPr="004D59B5">
        <w:rPr>
          <w:rFonts w:eastAsia="Times New Roman"/>
          <w:color w:val="000000"/>
          <w:lang w:eastAsia="de-DE"/>
        </w:rPr>
        <w:t xml:space="preserve">) were calculated </w:t>
      </w:r>
      <w:r>
        <w:rPr>
          <w:rFonts w:eastAsia="Times New Roman"/>
          <w:color w:val="000000"/>
          <w:lang w:eastAsia="de-DE"/>
        </w:rPr>
        <w:t>(</w:t>
      </w:r>
      <w:r w:rsidRPr="00B370EC">
        <w:rPr>
          <w:rFonts w:eastAsia="Times New Roman"/>
          <w:color w:val="000000"/>
          <w:lang w:eastAsia="de-DE"/>
        </w:rPr>
        <w:t>stimulated with primary/secondary staining minus stimulated with secondary only staining</w:t>
      </w:r>
      <w:r>
        <w:rPr>
          <w:rFonts w:eastAsia="Times New Roman"/>
          <w:color w:val="000000"/>
          <w:lang w:eastAsia="de-DE"/>
        </w:rPr>
        <w:t>),</w:t>
      </w:r>
      <w:r w:rsidRPr="004D59B5">
        <w:rPr>
          <w:rFonts w:eastAsia="Times New Roman"/>
          <w:color w:val="000000"/>
          <w:lang w:eastAsia="de-DE"/>
        </w:rPr>
        <w:t xml:space="preserve"> and </w:t>
      </w:r>
      <w:r>
        <w:rPr>
          <w:rFonts w:eastAsia="Times New Roman"/>
          <w:color w:val="000000"/>
          <w:lang w:eastAsia="de-DE"/>
        </w:rPr>
        <w:t>the percentage of</w:t>
      </w:r>
      <w:r w:rsidRPr="004D59B5">
        <w:rPr>
          <w:rFonts w:eastAsia="Times New Roman"/>
          <w:color w:val="000000"/>
          <w:lang w:eastAsia="de-DE"/>
        </w:rPr>
        <w:t xml:space="preserve"> MALT1 activity was determined relative to </w:t>
      </w:r>
      <w:r>
        <w:rPr>
          <w:rFonts w:eastAsia="Times New Roman"/>
          <w:color w:val="000000"/>
          <w:lang w:eastAsia="de-DE"/>
        </w:rPr>
        <w:t xml:space="preserve">that of </w:t>
      </w:r>
      <w:r w:rsidRPr="004D59B5">
        <w:rPr>
          <w:rFonts w:eastAsia="Times New Roman"/>
          <w:color w:val="000000"/>
          <w:lang w:eastAsia="de-DE"/>
        </w:rPr>
        <w:t>DMSO treated cells.</w:t>
      </w:r>
    </w:p>
    <w:p w14:paraId="319D4453" w14:textId="77777777" w:rsidR="003C03FA" w:rsidRPr="00181820" w:rsidRDefault="003C03FA" w:rsidP="003C03FA">
      <w:r w:rsidRPr="008E7E08">
        <w:rPr>
          <w:i/>
        </w:rPr>
        <w:t>Intracellular CYLD neo-antibody staining</w:t>
      </w:r>
      <w:r w:rsidRPr="00041A3E">
        <w:rPr>
          <w:i/>
        </w:rPr>
        <w:t xml:space="preserve"> in </w:t>
      </w:r>
      <w:r>
        <w:rPr>
          <w:i/>
        </w:rPr>
        <w:t>p</w:t>
      </w:r>
      <w:r w:rsidRPr="00041A3E">
        <w:rPr>
          <w:i/>
        </w:rPr>
        <w:t xml:space="preserve">rimary </w:t>
      </w:r>
      <w:r>
        <w:rPr>
          <w:i/>
        </w:rPr>
        <w:t>m</w:t>
      </w:r>
      <w:r w:rsidRPr="00041A3E">
        <w:rPr>
          <w:i/>
        </w:rPr>
        <w:t xml:space="preserve">urine </w:t>
      </w:r>
      <w:r>
        <w:rPr>
          <w:i/>
        </w:rPr>
        <w:t>s</w:t>
      </w:r>
      <w:r w:rsidRPr="00041A3E">
        <w:rPr>
          <w:i/>
        </w:rPr>
        <w:t>plenocytes</w:t>
      </w:r>
      <w:r>
        <w:rPr>
          <w:b/>
        </w:rPr>
        <w:t>.</w:t>
      </w:r>
      <w:r>
        <w:t xml:space="preserve"> Primary murine splenocytes from C57B16 mice were</w:t>
      </w:r>
      <w:r w:rsidRPr="004D59B5">
        <w:t xml:space="preserve"> treated with Red Blood Cell Lysis Solution (</w:t>
      </w:r>
      <w:proofErr w:type="spellStart"/>
      <w:r w:rsidRPr="004D59B5">
        <w:t>Miltenyi</w:t>
      </w:r>
      <w:proofErr w:type="spellEnd"/>
      <w:r>
        <w:t xml:space="preserve"> </w:t>
      </w:r>
      <w:proofErr w:type="spellStart"/>
      <w:r>
        <w:t>Biotec</w:t>
      </w:r>
      <w:proofErr w:type="spellEnd"/>
      <w:r w:rsidRPr="004D59B5">
        <w:t xml:space="preserve">; 1:10 in </w:t>
      </w:r>
      <w:proofErr w:type="spellStart"/>
      <w:r w:rsidRPr="004D59B5">
        <w:t>MilliQ</w:t>
      </w:r>
      <w:proofErr w:type="spellEnd"/>
      <w:r w:rsidRPr="004D59B5">
        <w:t xml:space="preserve"> H</w:t>
      </w:r>
      <w:r w:rsidRPr="004D59B5">
        <w:rPr>
          <w:vertAlign w:val="subscript"/>
        </w:rPr>
        <w:t>2</w:t>
      </w:r>
      <w:r w:rsidRPr="004D59B5">
        <w:t xml:space="preserve">O), and </w:t>
      </w:r>
      <w:r>
        <w:t>1 x 10</w:t>
      </w:r>
      <w:r w:rsidRPr="005E2FE3">
        <w:rPr>
          <w:vertAlign w:val="superscript"/>
        </w:rPr>
        <w:t>6</w:t>
      </w:r>
      <w:r>
        <w:t xml:space="preserve"> cells were </w:t>
      </w:r>
      <w:r w:rsidRPr="004D59B5">
        <w:t>resuspended in T cell medium (</w:t>
      </w:r>
      <w:r>
        <w:t xml:space="preserve">2 mL; </w:t>
      </w:r>
      <w:r w:rsidRPr="004D59B5">
        <w:t>RPMI 1640, penicillin</w:t>
      </w:r>
      <w:r>
        <w:t xml:space="preserve"> [100 U/mL]</w:t>
      </w:r>
      <w:r w:rsidRPr="004D59B5">
        <w:t>, streptomycin</w:t>
      </w:r>
      <w:r>
        <w:t xml:space="preserve"> [</w:t>
      </w:r>
      <w:r w:rsidRPr="004D59B5">
        <w:t xml:space="preserve">100 </w:t>
      </w:r>
      <w:proofErr w:type="spellStart"/>
      <w:r w:rsidRPr="004D59B5">
        <w:t>μg</w:t>
      </w:r>
      <w:proofErr w:type="spellEnd"/>
      <w:r w:rsidRPr="004D59B5">
        <w:t>/mL</w:t>
      </w:r>
      <w:r>
        <w:t>]</w:t>
      </w:r>
      <w:r w:rsidRPr="004D59B5">
        <w:t>, fetal calf serum</w:t>
      </w:r>
      <w:r>
        <w:t xml:space="preserve"> [10%]</w:t>
      </w:r>
      <w:r w:rsidRPr="004D59B5">
        <w:t xml:space="preserve">, </w:t>
      </w:r>
      <w:r>
        <w:t xml:space="preserve">and </w:t>
      </w:r>
      <w:r w:rsidRPr="004D59B5">
        <w:t>β-</w:t>
      </w:r>
      <w:proofErr w:type="spellStart"/>
      <w:r w:rsidRPr="004D59B5">
        <w:t>mercaptoethanol</w:t>
      </w:r>
      <w:proofErr w:type="spellEnd"/>
      <w:r>
        <w:t xml:space="preserve"> [</w:t>
      </w:r>
      <w:r w:rsidRPr="004D59B5">
        <w:t xml:space="preserve">50 </w:t>
      </w:r>
      <w:proofErr w:type="spellStart"/>
      <w:r w:rsidRPr="004D59B5">
        <w:t>nM</w:t>
      </w:r>
      <w:proofErr w:type="spellEnd"/>
      <w:r>
        <w:t>]</w:t>
      </w:r>
      <w:r w:rsidRPr="004D59B5">
        <w:t xml:space="preserve"> [all Gibco</w:t>
      </w:r>
      <w:r>
        <w:t xml:space="preserve"> </w:t>
      </w:r>
      <w:r>
        <w:rPr>
          <w:rFonts w:eastAsia="Times New Roman"/>
          <w:color w:val="000000"/>
          <w:lang w:eastAsia="de-DE"/>
        </w:rPr>
        <w:t>Thermo Fisher Scientific</w:t>
      </w:r>
      <w:r w:rsidRPr="004D59B5">
        <w:t xml:space="preserve">]). </w:t>
      </w:r>
      <w:r>
        <w:t>MPT-0308</w:t>
      </w:r>
      <w:r w:rsidRPr="004D59B5">
        <w:t xml:space="preserve"> was added</w:t>
      </w:r>
      <w:r>
        <w:t>, and cells were incubated</w:t>
      </w:r>
      <w:r w:rsidRPr="004D59B5">
        <w:t xml:space="preserve"> for 3</w:t>
      </w:r>
      <w:r>
        <w:t xml:space="preserve"> hours</w:t>
      </w:r>
      <w:r w:rsidRPr="004D59B5">
        <w:t xml:space="preserve"> prior to stimulation with </w:t>
      </w:r>
      <w:r>
        <w:t>i</w:t>
      </w:r>
      <w:r w:rsidRPr="004D59B5">
        <w:t xml:space="preserve">onomycin (300 ng/mL) and </w:t>
      </w:r>
      <w:r>
        <w:t>PMA (200 ng/mL</w:t>
      </w:r>
      <w:r w:rsidRPr="004D59B5">
        <w:t>) for an additional 2</w:t>
      </w:r>
      <w:r>
        <w:t xml:space="preserve"> hours</w:t>
      </w:r>
      <w:r w:rsidRPr="004D59B5">
        <w:t xml:space="preserve">. Cells were centrifuged (400 x g, 5 min, 4°C) and washed twice with </w:t>
      </w:r>
      <w:r>
        <w:t>phosphate-buffered saline (</w:t>
      </w:r>
      <w:r w:rsidRPr="004D59B5">
        <w:t>PBS</w:t>
      </w:r>
      <w:r>
        <w:t>)</w:t>
      </w:r>
      <w:r w:rsidRPr="004D59B5">
        <w:t xml:space="preserve"> followed by live/dead staining with Fixable Viability Dye </w:t>
      </w:r>
      <w:proofErr w:type="spellStart"/>
      <w:r w:rsidRPr="004D59B5">
        <w:t>eFluor</w:t>
      </w:r>
      <w:proofErr w:type="spellEnd"/>
      <w:r w:rsidRPr="004D59B5">
        <w:sym w:font="Symbol" w:char="F0E4"/>
      </w:r>
      <w:r w:rsidRPr="004D59B5">
        <w:t xml:space="preserve"> 780 (</w:t>
      </w:r>
      <w:proofErr w:type="spellStart"/>
      <w:r w:rsidRPr="004D59B5">
        <w:t>eBioscience</w:t>
      </w:r>
      <w:proofErr w:type="spellEnd"/>
      <w:r w:rsidRPr="004D59B5">
        <w:t>; 1:1000 in PBS) for 30 min</w:t>
      </w:r>
      <w:r>
        <w:t>utes</w:t>
      </w:r>
      <w:r w:rsidRPr="004D59B5">
        <w:t xml:space="preserve"> at 4°C. Afterwards, cells were washed with FACS buffer (3% fetal calf serum in PBS), fixed in 2% </w:t>
      </w:r>
      <w:r>
        <w:t>paraformaldehyde</w:t>
      </w:r>
      <w:r w:rsidRPr="004D59B5">
        <w:t xml:space="preserve"> for 15 min at RT, and permeabilized in 70% ice-cold methanol for 20 min</w:t>
      </w:r>
      <w:r>
        <w:t>utes</w:t>
      </w:r>
      <w:r w:rsidRPr="004D59B5">
        <w:t xml:space="preserve"> at 4°C. Unspecific antibody binding was blocked by treatment with anti-mouse CD16/CD32 (Fc block [</w:t>
      </w:r>
      <w:proofErr w:type="spellStart"/>
      <w:r>
        <w:t>eBioscience</w:t>
      </w:r>
      <w:proofErr w:type="spellEnd"/>
      <w:r>
        <w:t xml:space="preserve">, </w:t>
      </w:r>
      <w:r w:rsidRPr="008B2465">
        <w:t>14-0161-85</w:t>
      </w:r>
      <w:r w:rsidRPr="004D59B5">
        <w:t>]</w:t>
      </w:r>
      <w:r>
        <w:t>;</w:t>
      </w:r>
      <w:r w:rsidRPr="004D59B5">
        <w:t xml:space="preserve"> 1:50 in FACS buffer) for 15 min</w:t>
      </w:r>
      <w:r>
        <w:t>utes</w:t>
      </w:r>
      <w:r w:rsidRPr="004D59B5">
        <w:t xml:space="preserve"> at 4°C. Cells were stained with </w:t>
      </w:r>
      <w:r>
        <w:t>anti-</w:t>
      </w:r>
      <w:proofErr w:type="spellStart"/>
      <w:r>
        <w:t>neoCYLDct</w:t>
      </w:r>
      <w:proofErr w:type="spellEnd"/>
      <w:r>
        <w:t xml:space="preserve"> antibody (CYLD 25F10; </w:t>
      </w:r>
      <w:r w:rsidRPr="004D59B5">
        <w:t>1:100 in FACS buffer) for 30 min</w:t>
      </w:r>
      <w:r>
        <w:t>utes</w:t>
      </w:r>
      <w:r w:rsidRPr="004D59B5">
        <w:t xml:space="preserve"> at 4°C. After washing, </w:t>
      </w:r>
      <w:r>
        <w:t xml:space="preserve">cells were treated with </w:t>
      </w:r>
      <w:r w:rsidRPr="004D59B5">
        <w:t>rat anti-mouse IgG2a Alexa Fluor 488-conjugated secondary antibody (</w:t>
      </w:r>
      <w:r w:rsidRPr="004D59B5">
        <w:rPr>
          <w:rFonts w:eastAsia="Times New Roman"/>
          <w:color w:val="000000"/>
          <w:lang w:eastAsia="de-DE"/>
        </w:rPr>
        <w:t>1:200 in FACS buffer) for 30 min</w:t>
      </w:r>
      <w:r>
        <w:rPr>
          <w:rFonts w:eastAsia="Times New Roman"/>
          <w:color w:val="000000"/>
          <w:lang w:eastAsia="de-DE"/>
        </w:rPr>
        <w:t>utes</w:t>
      </w:r>
      <w:r w:rsidRPr="004D59B5">
        <w:rPr>
          <w:rFonts w:eastAsia="Times New Roman"/>
          <w:color w:val="000000"/>
          <w:lang w:eastAsia="de-DE"/>
        </w:rPr>
        <w:t xml:space="preserve"> at 4°C. To wash out unbound antibodies, cells were washed twice with </w:t>
      </w:r>
      <w:r>
        <w:rPr>
          <w:rFonts w:eastAsia="Times New Roman"/>
          <w:color w:val="000000"/>
          <w:lang w:eastAsia="de-DE"/>
        </w:rPr>
        <w:t>FACS buffer</w:t>
      </w:r>
      <w:r w:rsidRPr="004D59B5">
        <w:rPr>
          <w:rFonts w:eastAsia="Times New Roman"/>
          <w:color w:val="000000"/>
          <w:lang w:eastAsia="de-DE"/>
        </w:rPr>
        <w:t xml:space="preserve"> (second wash was incubated &gt;15 min at RT). For surface staining, cells were incubated with anti-CD4-PerCP (</w:t>
      </w:r>
      <w:proofErr w:type="spellStart"/>
      <w:r>
        <w:rPr>
          <w:rFonts w:eastAsia="Times New Roman"/>
          <w:color w:val="000000"/>
          <w:lang w:eastAsia="de-DE"/>
        </w:rPr>
        <w:t>eBioscience</w:t>
      </w:r>
      <w:proofErr w:type="spellEnd"/>
      <w:r>
        <w:rPr>
          <w:rFonts w:eastAsia="Times New Roman"/>
          <w:color w:val="000000"/>
          <w:lang w:eastAsia="de-DE"/>
        </w:rPr>
        <w:t xml:space="preserve">, </w:t>
      </w:r>
      <w:r w:rsidRPr="008B2465">
        <w:rPr>
          <w:rFonts w:eastAsia="Times New Roman"/>
          <w:color w:val="000000"/>
          <w:lang w:eastAsia="de-DE"/>
        </w:rPr>
        <w:t>45-0042-82</w:t>
      </w:r>
      <w:r w:rsidRPr="004D59B5">
        <w:rPr>
          <w:rFonts w:eastAsia="Times New Roman"/>
          <w:color w:val="000000"/>
          <w:lang w:eastAsia="de-DE"/>
        </w:rPr>
        <w:t>; 1:300 in FACS buffer) for 30 min</w:t>
      </w:r>
      <w:r>
        <w:rPr>
          <w:rFonts w:eastAsia="Times New Roman"/>
          <w:color w:val="000000"/>
          <w:lang w:eastAsia="de-DE"/>
        </w:rPr>
        <w:t>utes</w:t>
      </w:r>
      <w:r w:rsidRPr="004D59B5">
        <w:rPr>
          <w:rFonts w:eastAsia="Times New Roman"/>
          <w:color w:val="000000"/>
          <w:lang w:eastAsia="de-DE"/>
        </w:rPr>
        <w:t xml:space="preserve"> at RT. Cells were washed, resuspended in FACS buffer</w:t>
      </w:r>
      <w:r>
        <w:rPr>
          <w:rFonts w:eastAsia="Times New Roman"/>
          <w:color w:val="000000"/>
          <w:lang w:eastAsia="de-DE"/>
        </w:rPr>
        <w:t>,</w:t>
      </w:r>
      <w:r w:rsidRPr="004D59B5">
        <w:rPr>
          <w:rFonts w:eastAsia="Times New Roman"/>
          <w:color w:val="000000"/>
          <w:lang w:eastAsia="de-DE"/>
        </w:rPr>
        <w:t xml:space="preserve"> and acquired </w:t>
      </w:r>
      <w:r>
        <w:rPr>
          <w:rFonts w:eastAsia="Times New Roman"/>
          <w:color w:val="000000"/>
          <w:lang w:eastAsia="de-DE"/>
        </w:rPr>
        <w:t>and analyzed as above.</w:t>
      </w:r>
      <w:r w:rsidRPr="004D59B5">
        <w:rPr>
          <w:rFonts w:eastAsia="Times New Roman"/>
          <w:color w:val="000000"/>
          <w:lang w:eastAsia="de-DE"/>
        </w:rPr>
        <w:t xml:space="preserve"> </w:t>
      </w:r>
      <w:r w:rsidRPr="00472C64">
        <w:rPr>
          <w:rFonts w:eastAsia="Times New Roman"/>
          <w:color w:val="000000"/>
          <w:lang w:eastAsia="de-DE"/>
        </w:rPr>
        <w:t>Animal care was in accordance</w:t>
      </w:r>
      <w:r>
        <w:rPr>
          <w:rFonts w:eastAsia="Times New Roman"/>
          <w:color w:val="000000"/>
          <w:lang w:eastAsia="de-DE"/>
        </w:rPr>
        <w:t xml:space="preserve"> </w:t>
      </w:r>
      <w:r w:rsidRPr="00472C64">
        <w:rPr>
          <w:rFonts w:eastAsia="Times New Roman"/>
          <w:color w:val="000000"/>
          <w:lang w:eastAsia="de-DE"/>
        </w:rPr>
        <w:t>with institutional guidelines.</w:t>
      </w:r>
    </w:p>
    <w:p w14:paraId="3347B4C2" w14:textId="77777777" w:rsidR="003C03FA" w:rsidRPr="00DF3AF3" w:rsidRDefault="003C03FA" w:rsidP="00B17A87">
      <w:pPr>
        <w:autoSpaceDE w:val="0"/>
        <w:autoSpaceDN w:val="0"/>
        <w:adjustRightInd w:val="0"/>
        <w:rPr>
          <w:rFonts w:cstheme="minorHAnsi"/>
        </w:rPr>
      </w:pPr>
    </w:p>
    <w:p w14:paraId="24C64C0D" w14:textId="14B884C1" w:rsidR="006159EC" w:rsidRDefault="00754A56" w:rsidP="00B17A87">
      <w:pPr>
        <w:pStyle w:val="Heading1"/>
      </w:pPr>
      <w:bookmarkStart w:id="4" w:name="_Toc108434916"/>
      <w:bookmarkStart w:id="5" w:name="_Toc108472478"/>
      <w:r>
        <w:lastRenderedPageBreak/>
        <w:t xml:space="preserve">3. </w:t>
      </w:r>
      <w:r w:rsidR="00302028">
        <w:t>Organotypic Tumor Spheroid Preparation</w:t>
      </w:r>
      <w:bookmarkEnd w:id="4"/>
      <w:bookmarkEnd w:id="5"/>
    </w:p>
    <w:p w14:paraId="26790D82" w14:textId="0EED7824" w:rsidR="00CD78C8" w:rsidRDefault="00CD78C8" w:rsidP="00B17A87">
      <w:r>
        <w:t>Fresh tumor specimens were minced in a standard 10-cm dish using sterile forceps and scalpel and were resuspended in high-glucose DMEM (supplemented with 10% FBS plus 1% pen-strep), 100 U/mL type IV collagenase, and 15 mM HEPES (Life Technologies) for 15 to 30 minutes. Equal volumes of media were then added, and cell suspensions were pelleted (5 min, 1,000 x g, 4</w:t>
      </w:r>
      <w:r w:rsidR="008D4045">
        <w:t> </w:t>
      </w:r>
      <w:r w:rsidR="008D4045">
        <w:sym w:font="Symbol" w:char="F0B0"/>
      </w:r>
      <w:r>
        <w:t>C). Pellets were resuspended in fresh pre-warmed media and passed over 100-</w:t>
      </w:r>
      <w:r>
        <w:sym w:font="Symbol" w:char="F06D"/>
      </w:r>
      <w:r>
        <w:t>m and 40-</w:t>
      </w:r>
      <w:r>
        <w:sym w:font="Symbol" w:char="F06D"/>
      </w:r>
      <w:r>
        <w:t xml:space="preserve">m filters sequentially to obtain spheroid fractions S1 (&gt;100 </w:t>
      </w:r>
      <w:r>
        <w:sym w:font="Symbol" w:char="F06D"/>
      </w:r>
      <w:r>
        <w:t xml:space="preserve">m), S2 (40-100 </w:t>
      </w:r>
      <w:r>
        <w:sym w:font="Symbol" w:char="F06D"/>
      </w:r>
      <w:r>
        <w:t xml:space="preserve">m), and S3 (&lt;40 </w:t>
      </w:r>
      <w:r>
        <w:sym w:font="Symbol" w:char="F06D"/>
      </w:r>
      <w:r>
        <w:t>m). Spheroid fractions were subsequently transferred to ultra-low attachment tissue culture plates. The S2 fractions were pelleted and resuspended in type I rat tail collagen (Corning) at a concentration of 2.5 mg/mL following the addition of 10× PBS with phenol red with pH adjusted using NaOH (final pH 7.0–7.5).</w:t>
      </w:r>
    </w:p>
    <w:p w14:paraId="462A3F0C" w14:textId="77777777" w:rsidR="003C03FA" w:rsidRDefault="003C03FA" w:rsidP="003C03FA"/>
    <w:p w14:paraId="12D4E5C1" w14:textId="0F4E33EA" w:rsidR="003C03FA" w:rsidRPr="003C03FA" w:rsidRDefault="003C03FA" w:rsidP="003C03FA">
      <w:pPr>
        <w:sectPr w:rsidR="003C03FA" w:rsidRPr="003C03FA">
          <w:pgSz w:w="12240" w:h="15840"/>
          <w:pgMar w:top="1440" w:right="1440" w:bottom="1440" w:left="1440" w:header="720" w:footer="720" w:gutter="0"/>
          <w:cols w:space="720"/>
          <w:docGrid w:linePitch="360"/>
        </w:sectPr>
      </w:pPr>
    </w:p>
    <w:p w14:paraId="2923B0E9" w14:textId="060AD081" w:rsidR="0065111F" w:rsidRDefault="00754A56" w:rsidP="0065111F">
      <w:pPr>
        <w:pStyle w:val="Heading1"/>
      </w:pPr>
      <w:bookmarkStart w:id="6" w:name="_Toc108434917"/>
      <w:bookmarkStart w:id="7" w:name="_Toc108472479"/>
      <w:r>
        <w:lastRenderedPageBreak/>
        <w:t xml:space="preserve">4. </w:t>
      </w:r>
      <w:r w:rsidR="0017511C" w:rsidRPr="00E64949">
        <w:t>Supplementary Tabl</w:t>
      </w:r>
      <w:r w:rsidR="00E97840">
        <w:t>e</w:t>
      </w:r>
      <w:bookmarkEnd w:id="6"/>
      <w:r w:rsidR="00BD14CC">
        <w:t>s</w:t>
      </w:r>
      <w:bookmarkEnd w:id="7"/>
    </w:p>
    <w:p w14:paraId="24AA3632" w14:textId="77777777" w:rsidR="00BD14CC" w:rsidRPr="00043D36" w:rsidRDefault="00BD14CC" w:rsidP="00BD14CC">
      <w:pPr>
        <w:pStyle w:val="Heading2"/>
      </w:pPr>
      <w:bookmarkStart w:id="8" w:name="_Toc108434921"/>
      <w:bookmarkStart w:id="9" w:name="_Toc108472480"/>
      <w:bookmarkStart w:id="10" w:name="_Toc108434920"/>
      <w:bookmarkStart w:id="11" w:name="_Toc108434918"/>
      <w:r w:rsidRPr="00043D36">
        <w:t>Table S1. Patient Cohort from Massachusetts General Hospital for PDOTS Profiling</w:t>
      </w:r>
      <w:bookmarkEnd w:id="8"/>
      <w:bookmarkEnd w:id="9"/>
    </w:p>
    <w:tbl>
      <w:tblPr>
        <w:tblStyle w:val="PlainTable11"/>
        <w:tblW w:w="8545" w:type="dxa"/>
        <w:tblLook w:val="04A0" w:firstRow="1" w:lastRow="0" w:firstColumn="1" w:lastColumn="0" w:noHBand="0" w:noVBand="1"/>
      </w:tblPr>
      <w:tblGrid>
        <w:gridCol w:w="1107"/>
        <w:gridCol w:w="1181"/>
        <w:gridCol w:w="584"/>
        <w:gridCol w:w="925"/>
        <w:gridCol w:w="1268"/>
        <w:gridCol w:w="1186"/>
        <w:gridCol w:w="1326"/>
        <w:gridCol w:w="968"/>
      </w:tblGrid>
      <w:tr w:rsidR="00BD14CC" w:rsidRPr="00404E59" w14:paraId="3139AB0E" w14:textId="77777777" w:rsidTr="00A23B7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25" w:type="dxa"/>
            <w:shd w:val="clear" w:color="auto" w:fill="BFBFBF" w:themeFill="background1" w:themeFillShade="BF"/>
            <w:hideMark/>
          </w:tcPr>
          <w:p w14:paraId="30EDD02A" w14:textId="77777777" w:rsidR="00BD14CC" w:rsidRPr="00404E59" w:rsidRDefault="00BD14CC" w:rsidP="00A23B7A">
            <w:pPr>
              <w:spacing w:before="60" w:after="60" w:line="240" w:lineRule="auto"/>
              <w:rPr>
                <w:sz w:val="22"/>
                <w:szCs w:val="22"/>
              </w:rPr>
            </w:pPr>
            <w:r w:rsidRPr="00404E59">
              <w:rPr>
                <w:sz w:val="22"/>
                <w:szCs w:val="22"/>
              </w:rPr>
              <w:t>Sample ID</w:t>
            </w:r>
          </w:p>
        </w:tc>
        <w:tc>
          <w:tcPr>
            <w:tcW w:w="1184" w:type="dxa"/>
            <w:shd w:val="clear" w:color="auto" w:fill="BFBFBF" w:themeFill="background1" w:themeFillShade="BF"/>
            <w:hideMark/>
          </w:tcPr>
          <w:p w14:paraId="2E57B759"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Tumor</w:t>
            </w:r>
            <w:proofErr w:type="spellEnd"/>
            <w:r>
              <w:rPr>
                <w:sz w:val="22"/>
                <w:szCs w:val="22"/>
              </w:rPr>
              <w:t xml:space="preserve"> t</w:t>
            </w:r>
            <w:r w:rsidRPr="00404E59">
              <w:rPr>
                <w:sz w:val="22"/>
                <w:szCs w:val="22"/>
              </w:rPr>
              <w:t>ype</w:t>
            </w:r>
          </w:p>
        </w:tc>
        <w:tc>
          <w:tcPr>
            <w:tcW w:w="584" w:type="dxa"/>
            <w:shd w:val="clear" w:color="auto" w:fill="BFBFBF" w:themeFill="background1" w:themeFillShade="BF"/>
          </w:tcPr>
          <w:p w14:paraId="76218DDF"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Age</w:t>
            </w:r>
          </w:p>
        </w:tc>
        <w:tc>
          <w:tcPr>
            <w:tcW w:w="897" w:type="dxa"/>
            <w:shd w:val="clear" w:color="auto" w:fill="BFBFBF" w:themeFill="background1" w:themeFillShade="BF"/>
          </w:tcPr>
          <w:p w14:paraId="004C9B3A"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Gender</w:t>
            </w:r>
          </w:p>
        </w:tc>
        <w:tc>
          <w:tcPr>
            <w:tcW w:w="1196" w:type="dxa"/>
            <w:shd w:val="clear" w:color="auto" w:fill="BFBFBF" w:themeFill="background1" w:themeFillShade="BF"/>
          </w:tcPr>
          <w:p w14:paraId="15EBB340"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Pr>
                <w:sz w:val="22"/>
                <w:szCs w:val="22"/>
              </w:rPr>
              <w:t>Mutational s</w:t>
            </w:r>
            <w:r w:rsidRPr="00404E59">
              <w:rPr>
                <w:sz w:val="22"/>
                <w:szCs w:val="22"/>
              </w:rPr>
              <w:t>tatus</w:t>
            </w:r>
          </w:p>
        </w:tc>
        <w:tc>
          <w:tcPr>
            <w:tcW w:w="1219" w:type="dxa"/>
            <w:shd w:val="clear" w:color="auto" w:fill="BFBFBF" w:themeFill="background1" w:themeFillShade="BF"/>
          </w:tcPr>
          <w:p w14:paraId="0E48540E"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Pr>
                <w:sz w:val="22"/>
                <w:szCs w:val="22"/>
              </w:rPr>
              <w:t>MMR s</w:t>
            </w:r>
            <w:r w:rsidRPr="00404E59">
              <w:rPr>
                <w:sz w:val="22"/>
                <w:szCs w:val="22"/>
              </w:rPr>
              <w:t>tatus</w:t>
            </w:r>
          </w:p>
        </w:tc>
        <w:tc>
          <w:tcPr>
            <w:tcW w:w="1350" w:type="dxa"/>
            <w:shd w:val="clear" w:color="auto" w:fill="BFBFBF" w:themeFill="background1" w:themeFillShade="BF"/>
          </w:tcPr>
          <w:p w14:paraId="07CD489B"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TMB (absolute count)</w:t>
            </w:r>
          </w:p>
        </w:tc>
        <w:tc>
          <w:tcPr>
            <w:tcW w:w="990" w:type="dxa"/>
            <w:shd w:val="clear" w:color="auto" w:fill="BFBFBF" w:themeFill="background1" w:themeFillShade="BF"/>
          </w:tcPr>
          <w:p w14:paraId="69670BB9" w14:textId="77777777" w:rsidR="00BD14CC" w:rsidRPr="00404E59" w:rsidRDefault="00BD14CC" w:rsidP="00A23B7A">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Stage</w:t>
            </w:r>
          </w:p>
        </w:tc>
      </w:tr>
      <w:tr w:rsidR="00BD14CC" w:rsidRPr="00404E59" w14:paraId="32EEBFB6" w14:textId="77777777" w:rsidTr="00A2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5" w:type="dxa"/>
            <w:hideMark/>
          </w:tcPr>
          <w:p w14:paraId="0C6404E4" w14:textId="77777777" w:rsidR="00BD14CC" w:rsidRPr="00404E59" w:rsidRDefault="00BD14CC" w:rsidP="00A23B7A">
            <w:pPr>
              <w:spacing w:before="60" w:after="60" w:line="240" w:lineRule="auto"/>
              <w:rPr>
                <w:sz w:val="22"/>
                <w:szCs w:val="22"/>
              </w:rPr>
            </w:pPr>
            <w:r w:rsidRPr="00404E59">
              <w:rPr>
                <w:sz w:val="22"/>
                <w:szCs w:val="22"/>
              </w:rPr>
              <w:t>10011</w:t>
            </w:r>
          </w:p>
        </w:tc>
        <w:tc>
          <w:tcPr>
            <w:tcW w:w="1184" w:type="dxa"/>
            <w:hideMark/>
          </w:tcPr>
          <w:p w14:paraId="741C5945"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7E999FFA"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76</w:t>
            </w:r>
          </w:p>
        </w:tc>
        <w:tc>
          <w:tcPr>
            <w:tcW w:w="897" w:type="dxa"/>
          </w:tcPr>
          <w:p w14:paraId="669B3A05"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6C0DC9ED"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MLH1, PMS2</w:t>
            </w:r>
          </w:p>
        </w:tc>
        <w:tc>
          <w:tcPr>
            <w:tcW w:w="1219" w:type="dxa"/>
          </w:tcPr>
          <w:p w14:paraId="68086974"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MMR-D</w:t>
            </w:r>
          </w:p>
        </w:tc>
        <w:tc>
          <w:tcPr>
            <w:tcW w:w="1350" w:type="dxa"/>
          </w:tcPr>
          <w:p w14:paraId="25C277C3"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3079278B"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II</w:t>
            </w:r>
          </w:p>
        </w:tc>
      </w:tr>
      <w:tr w:rsidR="00BD14CC" w:rsidRPr="00404E59" w14:paraId="73585913" w14:textId="77777777" w:rsidTr="00A23B7A">
        <w:trPr>
          <w:trHeight w:val="341"/>
        </w:trPr>
        <w:tc>
          <w:tcPr>
            <w:cnfStyle w:val="001000000000" w:firstRow="0" w:lastRow="0" w:firstColumn="1" w:lastColumn="0" w:oddVBand="0" w:evenVBand="0" w:oddHBand="0" w:evenHBand="0" w:firstRowFirstColumn="0" w:firstRowLastColumn="0" w:lastRowFirstColumn="0" w:lastRowLastColumn="0"/>
            <w:tcW w:w="1125" w:type="dxa"/>
            <w:hideMark/>
          </w:tcPr>
          <w:p w14:paraId="0C3D7626" w14:textId="77777777" w:rsidR="00BD14CC" w:rsidRPr="00404E59" w:rsidRDefault="00BD14CC" w:rsidP="00A23B7A">
            <w:pPr>
              <w:spacing w:before="60" w:after="60" w:line="240" w:lineRule="auto"/>
              <w:rPr>
                <w:sz w:val="22"/>
                <w:szCs w:val="22"/>
              </w:rPr>
            </w:pPr>
            <w:r w:rsidRPr="00404E59">
              <w:rPr>
                <w:sz w:val="22"/>
                <w:szCs w:val="22"/>
              </w:rPr>
              <w:t>10018</w:t>
            </w:r>
          </w:p>
        </w:tc>
        <w:tc>
          <w:tcPr>
            <w:tcW w:w="1184" w:type="dxa"/>
            <w:hideMark/>
          </w:tcPr>
          <w:p w14:paraId="2CEA38CB"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309184EF"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85</w:t>
            </w:r>
          </w:p>
        </w:tc>
        <w:tc>
          <w:tcPr>
            <w:tcW w:w="897" w:type="dxa"/>
          </w:tcPr>
          <w:p w14:paraId="59A59FB6"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41ECEF9F"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1219" w:type="dxa"/>
          </w:tcPr>
          <w:p w14:paraId="39B16CD2"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MSI-H</w:t>
            </w:r>
          </w:p>
        </w:tc>
        <w:tc>
          <w:tcPr>
            <w:tcW w:w="1350" w:type="dxa"/>
          </w:tcPr>
          <w:p w14:paraId="66A887C2"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6A6D04A7"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II</w:t>
            </w:r>
          </w:p>
        </w:tc>
      </w:tr>
      <w:tr w:rsidR="00BD14CC" w:rsidRPr="00404E59" w14:paraId="4EBEB3E3" w14:textId="77777777" w:rsidTr="00A23B7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25" w:type="dxa"/>
            <w:hideMark/>
          </w:tcPr>
          <w:p w14:paraId="1F5E2903" w14:textId="77777777" w:rsidR="00BD14CC" w:rsidRPr="00404E59" w:rsidRDefault="00BD14CC" w:rsidP="00A23B7A">
            <w:pPr>
              <w:spacing w:before="60" w:after="60" w:line="240" w:lineRule="auto"/>
              <w:rPr>
                <w:sz w:val="22"/>
                <w:szCs w:val="22"/>
              </w:rPr>
            </w:pPr>
            <w:r w:rsidRPr="00404E59">
              <w:rPr>
                <w:sz w:val="22"/>
                <w:szCs w:val="22"/>
              </w:rPr>
              <w:t>10019</w:t>
            </w:r>
          </w:p>
        </w:tc>
        <w:tc>
          <w:tcPr>
            <w:tcW w:w="1184" w:type="dxa"/>
            <w:hideMark/>
          </w:tcPr>
          <w:p w14:paraId="7A581C59"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Cutaneous m</w:t>
            </w:r>
            <w:r w:rsidRPr="00404E59">
              <w:rPr>
                <w:sz w:val="22"/>
                <w:szCs w:val="22"/>
              </w:rPr>
              <w:t>elanoma</w:t>
            </w:r>
          </w:p>
        </w:tc>
        <w:tc>
          <w:tcPr>
            <w:tcW w:w="584" w:type="dxa"/>
          </w:tcPr>
          <w:p w14:paraId="21446E61"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65</w:t>
            </w:r>
          </w:p>
        </w:tc>
        <w:tc>
          <w:tcPr>
            <w:tcW w:w="897" w:type="dxa"/>
          </w:tcPr>
          <w:p w14:paraId="594B5661"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w:t>
            </w:r>
          </w:p>
        </w:tc>
        <w:tc>
          <w:tcPr>
            <w:tcW w:w="1196" w:type="dxa"/>
          </w:tcPr>
          <w:p w14:paraId="3A3DAA98"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TERT</w:t>
            </w:r>
          </w:p>
        </w:tc>
        <w:tc>
          <w:tcPr>
            <w:tcW w:w="1219" w:type="dxa"/>
          </w:tcPr>
          <w:p w14:paraId="6AC65D83"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56FE51B1"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7590CABD"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5B6F4600" w14:textId="77777777" w:rsidTr="00A23B7A">
        <w:trPr>
          <w:trHeight w:val="340"/>
        </w:trPr>
        <w:tc>
          <w:tcPr>
            <w:cnfStyle w:val="001000000000" w:firstRow="0" w:lastRow="0" w:firstColumn="1" w:lastColumn="0" w:oddVBand="0" w:evenVBand="0" w:oddHBand="0" w:evenHBand="0" w:firstRowFirstColumn="0" w:firstRowLastColumn="0" w:lastRowFirstColumn="0" w:lastRowLastColumn="0"/>
            <w:tcW w:w="1125" w:type="dxa"/>
            <w:hideMark/>
          </w:tcPr>
          <w:p w14:paraId="0507F5CB" w14:textId="77777777" w:rsidR="00BD14CC" w:rsidRPr="00404E59" w:rsidRDefault="00BD14CC" w:rsidP="00A23B7A">
            <w:pPr>
              <w:spacing w:before="60" w:after="60" w:line="240" w:lineRule="auto"/>
              <w:rPr>
                <w:sz w:val="22"/>
                <w:szCs w:val="22"/>
              </w:rPr>
            </w:pPr>
            <w:r w:rsidRPr="00404E59">
              <w:rPr>
                <w:sz w:val="22"/>
                <w:szCs w:val="22"/>
              </w:rPr>
              <w:t>10020</w:t>
            </w:r>
          </w:p>
        </w:tc>
        <w:tc>
          <w:tcPr>
            <w:tcW w:w="1184" w:type="dxa"/>
            <w:hideMark/>
          </w:tcPr>
          <w:p w14:paraId="1D6D168F"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7D072D0F"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72</w:t>
            </w:r>
          </w:p>
        </w:tc>
        <w:tc>
          <w:tcPr>
            <w:tcW w:w="897" w:type="dxa"/>
          </w:tcPr>
          <w:p w14:paraId="175892BC"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3C01FA8F"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1219" w:type="dxa"/>
          </w:tcPr>
          <w:p w14:paraId="32F605A2"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MSI-H</w:t>
            </w:r>
          </w:p>
        </w:tc>
        <w:tc>
          <w:tcPr>
            <w:tcW w:w="1350" w:type="dxa"/>
          </w:tcPr>
          <w:p w14:paraId="2342EED8"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59D1A9E3"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II</w:t>
            </w:r>
          </w:p>
        </w:tc>
      </w:tr>
      <w:tr w:rsidR="00BD14CC" w:rsidRPr="00404E59" w14:paraId="19748CA4" w14:textId="77777777" w:rsidTr="00A23B7A">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125" w:type="dxa"/>
            <w:hideMark/>
          </w:tcPr>
          <w:p w14:paraId="56DD545A" w14:textId="77777777" w:rsidR="00BD14CC" w:rsidRPr="00404E59" w:rsidRDefault="00BD14CC" w:rsidP="00A23B7A">
            <w:pPr>
              <w:spacing w:before="60" w:after="60" w:line="240" w:lineRule="auto"/>
              <w:rPr>
                <w:sz w:val="22"/>
                <w:szCs w:val="22"/>
              </w:rPr>
            </w:pPr>
            <w:r w:rsidRPr="00404E59">
              <w:rPr>
                <w:sz w:val="22"/>
                <w:szCs w:val="22"/>
              </w:rPr>
              <w:t>10021</w:t>
            </w:r>
          </w:p>
        </w:tc>
        <w:tc>
          <w:tcPr>
            <w:tcW w:w="1184" w:type="dxa"/>
            <w:hideMark/>
          </w:tcPr>
          <w:p w14:paraId="03F9DF2F"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Cutaneous m</w:t>
            </w:r>
            <w:r w:rsidRPr="00404E59">
              <w:rPr>
                <w:sz w:val="22"/>
                <w:szCs w:val="22"/>
              </w:rPr>
              <w:t>elanoma</w:t>
            </w:r>
          </w:p>
        </w:tc>
        <w:tc>
          <w:tcPr>
            <w:tcW w:w="584" w:type="dxa"/>
          </w:tcPr>
          <w:p w14:paraId="23F3C36D"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73</w:t>
            </w:r>
          </w:p>
        </w:tc>
        <w:tc>
          <w:tcPr>
            <w:tcW w:w="897" w:type="dxa"/>
          </w:tcPr>
          <w:p w14:paraId="599CECA9"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w:t>
            </w:r>
          </w:p>
        </w:tc>
        <w:tc>
          <w:tcPr>
            <w:tcW w:w="1196" w:type="dxa"/>
          </w:tcPr>
          <w:p w14:paraId="742FF4D8"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TP63, DDX3X, PIK3CA, BRAF, TSC2, MYC, TERT, SMARCA4</w:t>
            </w:r>
          </w:p>
        </w:tc>
        <w:tc>
          <w:tcPr>
            <w:tcW w:w="1219" w:type="dxa"/>
          </w:tcPr>
          <w:p w14:paraId="6ED1006C"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630A161C"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14FF1926"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5D777CF4" w14:textId="77777777" w:rsidTr="00A23B7A">
        <w:trPr>
          <w:trHeight w:val="503"/>
        </w:trPr>
        <w:tc>
          <w:tcPr>
            <w:cnfStyle w:val="001000000000" w:firstRow="0" w:lastRow="0" w:firstColumn="1" w:lastColumn="0" w:oddVBand="0" w:evenVBand="0" w:oddHBand="0" w:evenHBand="0" w:firstRowFirstColumn="0" w:firstRowLastColumn="0" w:lastRowFirstColumn="0" w:lastRowLastColumn="0"/>
            <w:tcW w:w="1125" w:type="dxa"/>
            <w:hideMark/>
          </w:tcPr>
          <w:p w14:paraId="27442E25" w14:textId="77777777" w:rsidR="00BD14CC" w:rsidRPr="00404E59" w:rsidRDefault="00BD14CC" w:rsidP="00A23B7A">
            <w:pPr>
              <w:spacing w:before="60" w:after="60" w:line="240" w:lineRule="auto"/>
              <w:rPr>
                <w:sz w:val="22"/>
                <w:szCs w:val="22"/>
              </w:rPr>
            </w:pPr>
            <w:r w:rsidRPr="00404E59">
              <w:rPr>
                <w:sz w:val="22"/>
                <w:szCs w:val="22"/>
              </w:rPr>
              <w:t>10022</w:t>
            </w:r>
          </w:p>
        </w:tc>
        <w:tc>
          <w:tcPr>
            <w:tcW w:w="1184" w:type="dxa"/>
            <w:hideMark/>
          </w:tcPr>
          <w:p w14:paraId="7DAB0E9D"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404E59">
              <w:rPr>
                <w:sz w:val="22"/>
                <w:szCs w:val="22"/>
              </w:rPr>
              <w:t>cular melanoma</w:t>
            </w:r>
          </w:p>
        </w:tc>
        <w:tc>
          <w:tcPr>
            <w:tcW w:w="584" w:type="dxa"/>
          </w:tcPr>
          <w:p w14:paraId="265CA0B0"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70</w:t>
            </w:r>
          </w:p>
        </w:tc>
        <w:tc>
          <w:tcPr>
            <w:tcW w:w="897" w:type="dxa"/>
          </w:tcPr>
          <w:p w14:paraId="4A8D38F5"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26CEF19D"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1219" w:type="dxa"/>
          </w:tcPr>
          <w:p w14:paraId="6C17C902"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67873BAC"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4A092FB1"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313AD271" w14:textId="77777777" w:rsidTr="00A23B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25" w:type="dxa"/>
            <w:hideMark/>
          </w:tcPr>
          <w:p w14:paraId="4C018CCF" w14:textId="77777777" w:rsidR="00BD14CC" w:rsidRPr="00404E59" w:rsidRDefault="00BD14CC" w:rsidP="00A23B7A">
            <w:pPr>
              <w:spacing w:before="60" w:after="60" w:line="240" w:lineRule="auto"/>
              <w:rPr>
                <w:sz w:val="22"/>
                <w:szCs w:val="22"/>
              </w:rPr>
            </w:pPr>
            <w:r w:rsidRPr="00404E59">
              <w:rPr>
                <w:sz w:val="22"/>
                <w:szCs w:val="22"/>
              </w:rPr>
              <w:t>10137</w:t>
            </w:r>
          </w:p>
        </w:tc>
        <w:tc>
          <w:tcPr>
            <w:tcW w:w="1184" w:type="dxa"/>
            <w:hideMark/>
          </w:tcPr>
          <w:p w14:paraId="7283B7D0"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422FA5DE"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51</w:t>
            </w:r>
          </w:p>
        </w:tc>
        <w:tc>
          <w:tcPr>
            <w:tcW w:w="897" w:type="dxa"/>
          </w:tcPr>
          <w:p w14:paraId="38FB0081"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104F19F3"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219" w:type="dxa"/>
          </w:tcPr>
          <w:p w14:paraId="45A344E3"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2396887E"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60FEFCF3"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w:t>
            </w:r>
          </w:p>
        </w:tc>
      </w:tr>
      <w:tr w:rsidR="00BD14CC" w:rsidRPr="00404E59" w14:paraId="30CF8637" w14:textId="77777777" w:rsidTr="00A23B7A">
        <w:trPr>
          <w:trHeight w:val="340"/>
        </w:trPr>
        <w:tc>
          <w:tcPr>
            <w:cnfStyle w:val="001000000000" w:firstRow="0" w:lastRow="0" w:firstColumn="1" w:lastColumn="0" w:oddVBand="0" w:evenVBand="0" w:oddHBand="0" w:evenHBand="0" w:firstRowFirstColumn="0" w:firstRowLastColumn="0" w:lastRowFirstColumn="0" w:lastRowLastColumn="0"/>
            <w:tcW w:w="1125" w:type="dxa"/>
            <w:hideMark/>
          </w:tcPr>
          <w:p w14:paraId="38A7FC90" w14:textId="77777777" w:rsidR="00BD14CC" w:rsidRPr="00404E59" w:rsidRDefault="00BD14CC" w:rsidP="00A23B7A">
            <w:pPr>
              <w:spacing w:before="60" w:after="60" w:line="240" w:lineRule="auto"/>
              <w:rPr>
                <w:sz w:val="22"/>
                <w:szCs w:val="22"/>
              </w:rPr>
            </w:pPr>
            <w:r w:rsidRPr="00404E59">
              <w:rPr>
                <w:sz w:val="22"/>
                <w:szCs w:val="22"/>
              </w:rPr>
              <w:t>10140</w:t>
            </w:r>
          </w:p>
        </w:tc>
        <w:tc>
          <w:tcPr>
            <w:tcW w:w="1184" w:type="dxa"/>
            <w:hideMark/>
          </w:tcPr>
          <w:p w14:paraId="1F90ED0B"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15E2727A"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70</w:t>
            </w:r>
          </w:p>
        </w:tc>
        <w:tc>
          <w:tcPr>
            <w:tcW w:w="897" w:type="dxa"/>
          </w:tcPr>
          <w:p w14:paraId="2B4E5DA1"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M</w:t>
            </w:r>
          </w:p>
        </w:tc>
        <w:tc>
          <w:tcPr>
            <w:tcW w:w="1196" w:type="dxa"/>
          </w:tcPr>
          <w:p w14:paraId="786AC2E0"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KRAS, CDH1, TP53, STK11, PIK3CA, APC, MEN1</w:t>
            </w:r>
          </w:p>
        </w:tc>
        <w:tc>
          <w:tcPr>
            <w:tcW w:w="1219" w:type="dxa"/>
          </w:tcPr>
          <w:p w14:paraId="32C2FFF7"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7DE2727B"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LOW</w:t>
            </w:r>
          </w:p>
        </w:tc>
        <w:tc>
          <w:tcPr>
            <w:tcW w:w="990" w:type="dxa"/>
          </w:tcPr>
          <w:p w14:paraId="734ECB05"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179DC56E" w14:textId="77777777" w:rsidTr="00A23B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25" w:type="dxa"/>
            <w:hideMark/>
          </w:tcPr>
          <w:p w14:paraId="245CA826" w14:textId="77777777" w:rsidR="00BD14CC" w:rsidRPr="00404E59" w:rsidRDefault="00BD14CC" w:rsidP="00A23B7A">
            <w:pPr>
              <w:spacing w:before="60" w:after="60" w:line="240" w:lineRule="auto"/>
              <w:rPr>
                <w:sz w:val="22"/>
                <w:szCs w:val="22"/>
              </w:rPr>
            </w:pPr>
            <w:r w:rsidRPr="00404E59">
              <w:rPr>
                <w:sz w:val="22"/>
                <w:szCs w:val="22"/>
              </w:rPr>
              <w:t>10142</w:t>
            </w:r>
          </w:p>
        </w:tc>
        <w:tc>
          <w:tcPr>
            <w:tcW w:w="1184" w:type="dxa"/>
            <w:hideMark/>
          </w:tcPr>
          <w:p w14:paraId="11AB8E2D"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7D7A1C0D"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29</w:t>
            </w:r>
          </w:p>
        </w:tc>
        <w:tc>
          <w:tcPr>
            <w:tcW w:w="897" w:type="dxa"/>
          </w:tcPr>
          <w:p w14:paraId="50931868"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w:t>
            </w:r>
          </w:p>
        </w:tc>
        <w:tc>
          <w:tcPr>
            <w:tcW w:w="1196" w:type="dxa"/>
          </w:tcPr>
          <w:p w14:paraId="361C2706"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PIK3CA, TP53</w:t>
            </w:r>
          </w:p>
        </w:tc>
        <w:tc>
          <w:tcPr>
            <w:tcW w:w="1219" w:type="dxa"/>
          </w:tcPr>
          <w:p w14:paraId="7111D177"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539DBC96"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LOW</w:t>
            </w:r>
          </w:p>
        </w:tc>
        <w:tc>
          <w:tcPr>
            <w:tcW w:w="990" w:type="dxa"/>
          </w:tcPr>
          <w:p w14:paraId="6558B828"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11FB2070" w14:textId="77777777" w:rsidTr="00A23B7A">
        <w:trPr>
          <w:trHeight w:val="340"/>
        </w:trPr>
        <w:tc>
          <w:tcPr>
            <w:cnfStyle w:val="001000000000" w:firstRow="0" w:lastRow="0" w:firstColumn="1" w:lastColumn="0" w:oddVBand="0" w:evenVBand="0" w:oddHBand="0" w:evenHBand="0" w:firstRowFirstColumn="0" w:firstRowLastColumn="0" w:lastRowFirstColumn="0" w:lastRowLastColumn="0"/>
            <w:tcW w:w="1125" w:type="dxa"/>
            <w:hideMark/>
          </w:tcPr>
          <w:p w14:paraId="1AABB9D8" w14:textId="77777777" w:rsidR="00BD14CC" w:rsidRPr="00404E59" w:rsidRDefault="00BD14CC" w:rsidP="00A23B7A">
            <w:pPr>
              <w:spacing w:before="60" w:after="60" w:line="240" w:lineRule="auto"/>
              <w:rPr>
                <w:sz w:val="22"/>
                <w:szCs w:val="22"/>
              </w:rPr>
            </w:pPr>
            <w:r w:rsidRPr="00404E59">
              <w:rPr>
                <w:sz w:val="22"/>
                <w:szCs w:val="22"/>
              </w:rPr>
              <w:t>10162</w:t>
            </w:r>
          </w:p>
        </w:tc>
        <w:tc>
          <w:tcPr>
            <w:tcW w:w="1184" w:type="dxa"/>
            <w:hideMark/>
          </w:tcPr>
          <w:p w14:paraId="490565BD"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Pr="00404E59">
              <w:rPr>
                <w:sz w:val="22"/>
                <w:szCs w:val="22"/>
              </w:rPr>
              <w:t>olon cancer</w:t>
            </w:r>
          </w:p>
        </w:tc>
        <w:tc>
          <w:tcPr>
            <w:tcW w:w="584" w:type="dxa"/>
          </w:tcPr>
          <w:p w14:paraId="6F1CEE6E"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62</w:t>
            </w:r>
          </w:p>
        </w:tc>
        <w:tc>
          <w:tcPr>
            <w:tcW w:w="897" w:type="dxa"/>
          </w:tcPr>
          <w:p w14:paraId="43F3EBF2"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F</w:t>
            </w:r>
          </w:p>
        </w:tc>
        <w:tc>
          <w:tcPr>
            <w:tcW w:w="1196" w:type="dxa"/>
          </w:tcPr>
          <w:p w14:paraId="7FAF71A9"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ERBB2, APC, TP53</w:t>
            </w:r>
          </w:p>
        </w:tc>
        <w:tc>
          <w:tcPr>
            <w:tcW w:w="1219" w:type="dxa"/>
          </w:tcPr>
          <w:p w14:paraId="08A85CEE"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MSS</w:t>
            </w:r>
          </w:p>
        </w:tc>
        <w:tc>
          <w:tcPr>
            <w:tcW w:w="1350" w:type="dxa"/>
          </w:tcPr>
          <w:p w14:paraId="3E01C5BE"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04E59">
              <w:rPr>
                <w:sz w:val="22"/>
                <w:szCs w:val="22"/>
              </w:rPr>
              <w:t>LOW</w:t>
            </w:r>
          </w:p>
        </w:tc>
        <w:tc>
          <w:tcPr>
            <w:tcW w:w="990" w:type="dxa"/>
          </w:tcPr>
          <w:p w14:paraId="650BD51A" w14:textId="77777777" w:rsidR="00BD14CC" w:rsidRPr="00404E59" w:rsidRDefault="00BD14CC" w:rsidP="00A23B7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4E59">
              <w:rPr>
                <w:sz w:val="22"/>
                <w:szCs w:val="22"/>
              </w:rPr>
              <w:t>IV</w:t>
            </w:r>
          </w:p>
        </w:tc>
      </w:tr>
      <w:tr w:rsidR="00BD14CC" w:rsidRPr="00404E59" w14:paraId="2BB69ABC" w14:textId="77777777" w:rsidTr="00A23B7A">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25" w:type="dxa"/>
            <w:hideMark/>
          </w:tcPr>
          <w:p w14:paraId="6A1821EE" w14:textId="77777777" w:rsidR="00BD14CC" w:rsidRPr="00404E59" w:rsidRDefault="00BD14CC" w:rsidP="00A23B7A">
            <w:pPr>
              <w:spacing w:before="60" w:after="60" w:line="240" w:lineRule="auto"/>
              <w:rPr>
                <w:sz w:val="22"/>
                <w:szCs w:val="22"/>
              </w:rPr>
            </w:pPr>
            <w:r w:rsidRPr="00404E59">
              <w:rPr>
                <w:sz w:val="22"/>
                <w:szCs w:val="22"/>
              </w:rPr>
              <w:t>10165</w:t>
            </w:r>
          </w:p>
        </w:tc>
        <w:tc>
          <w:tcPr>
            <w:tcW w:w="1184" w:type="dxa"/>
            <w:hideMark/>
          </w:tcPr>
          <w:p w14:paraId="3ADA9EF9"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w:t>
            </w:r>
            <w:r w:rsidRPr="00404E59">
              <w:rPr>
                <w:sz w:val="22"/>
                <w:szCs w:val="22"/>
              </w:rPr>
              <w:t>utaneous melanoma</w:t>
            </w:r>
          </w:p>
        </w:tc>
        <w:tc>
          <w:tcPr>
            <w:tcW w:w="584" w:type="dxa"/>
          </w:tcPr>
          <w:p w14:paraId="7011856E"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73</w:t>
            </w:r>
          </w:p>
        </w:tc>
        <w:tc>
          <w:tcPr>
            <w:tcW w:w="897" w:type="dxa"/>
          </w:tcPr>
          <w:p w14:paraId="6B38B808"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M</w:t>
            </w:r>
          </w:p>
        </w:tc>
        <w:tc>
          <w:tcPr>
            <w:tcW w:w="1196" w:type="dxa"/>
          </w:tcPr>
          <w:p w14:paraId="79F8FA79"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BRCA1, MAP3K1, TERT, NRAS</w:t>
            </w:r>
          </w:p>
        </w:tc>
        <w:tc>
          <w:tcPr>
            <w:tcW w:w="1219" w:type="dxa"/>
          </w:tcPr>
          <w:p w14:paraId="5FADDFA1"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1350" w:type="dxa"/>
          </w:tcPr>
          <w:p w14:paraId="2C68FE14"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N/A</w:t>
            </w:r>
          </w:p>
        </w:tc>
        <w:tc>
          <w:tcPr>
            <w:tcW w:w="990" w:type="dxa"/>
          </w:tcPr>
          <w:p w14:paraId="52E80FE5" w14:textId="77777777" w:rsidR="00BD14CC" w:rsidRPr="00404E59" w:rsidRDefault="00BD14CC" w:rsidP="00A23B7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404E59">
              <w:rPr>
                <w:sz w:val="22"/>
                <w:szCs w:val="22"/>
              </w:rPr>
              <w:t>IV</w:t>
            </w:r>
          </w:p>
        </w:tc>
      </w:tr>
    </w:tbl>
    <w:p w14:paraId="7805B363" w14:textId="2D39A2E5" w:rsidR="007B50B3" w:rsidRDefault="007B50B3" w:rsidP="0065111F">
      <w:pPr>
        <w:pStyle w:val="Heading2"/>
      </w:pPr>
      <w:bookmarkStart w:id="12" w:name="_Toc108472481"/>
      <w:bookmarkEnd w:id="10"/>
      <w:r>
        <w:lastRenderedPageBreak/>
        <w:t xml:space="preserve">Table S2. </w:t>
      </w:r>
      <w:r w:rsidR="00C25ADB">
        <w:t xml:space="preserve">Selected </w:t>
      </w:r>
      <w:r w:rsidR="009F32F7">
        <w:t>P</w:t>
      </w:r>
      <w:r>
        <w:t xml:space="preserve">roperties </w:t>
      </w:r>
      <w:r w:rsidR="001F50DC">
        <w:t>of (</w:t>
      </w:r>
      <w:r w:rsidR="001F50DC" w:rsidRPr="009A5907">
        <w:rPr>
          <w:i/>
        </w:rPr>
        <w:t>S</w:t>
      </w:r>
      <w:r w:rsidR="001F50DC">
        <w:t>)-Mepazine and Its Salts</w:t>
      </w:r>
      <w:bookmarkEnd w:id="11"/>
      <w:bookmarkEnd w:id="1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22"/>
        <w:gridCol w:w="3112"/>
        <w:gridCol w:w="3116"/>
      </w:tblGrid>
      <w:tr w:rsidR="007B50B3" w:rsidRPr="00470259" w14:paraId="2B4FC669" w14:textId="77777777" w:rsidTr="002F2FC6">
        <w:tc>
          <w:tcPr>
            <w:tcW w:w="3192" w:type="dxa"/>
            <w:shd w:val="clear" w:color="auto" w:fill="BFBFBF" w:themeFill="background1" w:themeFillShade="BF"/>
            <w:vAlign w:val="center"/>
          </w:tcPr>
          <w:p w14:paraId="0DBFD9E0" w14:textId="77777777" w:rsidR="007B50B3" w:rsidRPr="00470259" w:rsidRDefault="007B50B3" w:rsidP="00B17A87">
            <w:pPr>
              <w:spacing w:before="80" w:after="80"/>
              <w:rPr>
                <w:sz w:val="22"/>
                <w:szCs w:val="22"/>
              </w:rPr>
            </w:pPr>
            <w:r w:rsidRPr="00470259">
              <w:rPr>
                <w:sz w:val="22"/>
                <w:szCs w:val="22"/>
              </w:rPr>
              <w:t>Property</w:t>
            </w:r>
          </w:p>
        </w:tc>
        <w:tc>
          <w:tcPr>
            <w:tcW w:w="3192" w:type="dxa"/>
            <w:shd w:val="clear" w:color="auto" w:fill="BFBFBF" w:themeFill="background1" w:themeFillShade="BF"/>
            <w:vAlign w:val="center"/>
          </w:tcPr>
          <w:p w14:paraId="14161210" w14:textId="77777777" w:rsidR="007B50B3" w:rsidRPr="00470259" w:rsidRDefault="007B50B3" w:rsidP="00B17A87">
            <w:pPr>
              <w:spacing w:before="80" w:after="80"/>
              <w:rPr>
                <w:sz w:val="22"/>
                <w:szCs w:val="22"/>
              </w:rPr>
            </w:pPr>
            <w:r w:rsidRPr="00470259">
              <w:rPr>
                <w:sz w:val="22"/>
                <w:szCs w:val="22"/>
              </w:rPr>
              <w:t>Result</w:t>
            </w:r>
          </w:p>
        </w:tc>
        <w:tc>
          <w:tcPr>
            <w:tcW w:w="3192" w:type="dxa"/>
            <w:shd w:val="clear" w:color="auto" w:fill="BFBFBF" w:themeFill="background1" w:themeFillShade="BF"/>
            <w:vAlign w:val="center"/>
          </w:tcPr>
          <w:p w14:paraId="2DBF9F52" w14:textId="7302AA0D" w:rsidR="007B50B3" w:rsidRPr="00470259" w:rsidRDefault="00517646" w:rsidP="00B17A87">
            <w:pPr>
              <w:spacing w:before="80" w:after="80"/>
              <w:rPr>
                <w:sz w:val="22"/>
                <w:szCs w:val="22"/>
              </w:rPr>
            </w:pPr>
            <w:r>
              <w:rPr>
                <w:sz w:val="22"/>
                <w:szCs w:val="22"/>
              </w:rPr>
              <w:t xml:space="preserve">Test </w:t>
            </w:r>
            <w:r w:rsidR="003454B4" w:rsidRPr="00470259">
              <w:rPr>
                <w:sz w:val="22"/>
                <w:szCs w:val="22"/>
              </w:rPr>
              <w:t>Compound</w:t>
            </w:r>
          </w:p>
        </w:tc>
      </w:tr>
      <w:tr w:rsidR="007B50B3" w:rsidRPr="00470259" w14:paraId="3CD09E79" w14:textId="77777777" w:rsidTr="008568E4">
        <w:tc>
          <w:tcPr>
            <w:tcW w:w="3192" w:type="dxa"/>
            <w:vAlign w:val="center"/>
          </w:tcPr>
          <w:p w14:paraId="2E7B77C6" w14:textId="77777777" w:rsidR="007B50B3" w:rsidRPr="00470259" w:rsidRDefault="007B50B3" w:rsidP="00B17A87">
            <w:pPr>
              <w:spacing w:before="80" w:after="80"/>
              <w:rPr>
                <w:sz w:val="22"/>
                <w:szCs w:val="22"/>
              </w:rPr>
            </w:pPr>
            <w:r w:rsidRPr="00470259">
              <w:rPr>
                <w:sz w:val="22"/>
                <w:szCs w:val="22"/>
              </w:rPr>
              <w:t>pKa</w:t>
            </w:r>
          </w:p>
        </w:tc>
        <w:tc>
          <w:tcPr>
            <w:tcW w:w="3192" w:type="dxa"/>
            <w:vAlign w:val="center"/>
          </w:tcPr>
          <w:p w14:paraId="51AEA14C" w14:textId="77777777" w:rsidR="007B50B3" w:rsidRPr="00470259" w:rsidRDefault="007B50B3" w:rsidP="00B17A87">
            <w:pPr>
              <w:spacing w:before="80" w:after="80"/>
              <w:rPr>
                <w:sz w:val="22"/>
                <w:szCs w:val="22"/>
              </w:rPr>
            </w:pPr>
            <w:r w:rsidRPr="00470259">
              <w:rPr>
                <w:sz w:val="22"/>
                <w:szCs w:val="22"/>
              </w:rPr>
              <w:t>9.2</w:t>
            </w:r>
          </w:p>
        </w:tc>
        <w:tc>
          <w:tcPr>
            <w:tcW w:w="3192" w:type="dxa"/>
            <w:vAlign w:val="center"/>
          </w:tcPr>
          <w:p w14:paraId="336ECD8E" w14:textId="0A616077" w:rsidR="007B50B3" w:rsidRPr="00470259" w:rsidRDefault="00517646" w:rsidP="00B17A87">
            <w:pPr>
              <w:spacing w:before="80" w:after="80"/>
              <w:rPr>
                <w:sz w:val="22"/>
                <w:szCs w:val="22"/>
              </w:rPr>
            </w:pPr>
            <w:r w:rsidRPr="00470259">
              <w:rPr>
                <w:sz w:val="22"/>
                <w:szCs w:val="22"/>
              </w:rPr>
              <w:t>MPT-0118</w:t>
            </w:r>
            <w:r w:rsidR="009A5907" w:rsidRPr="004C7BF6">
              <w:rPr>
                <w:sz w:val="22"/>
                <w:szCs w:val="22"/>
                <w:vertAlign w:val="superscript"/>
              </w:rPr>
              <w:t>c</w:t>
            </w:r>
          </w:p>
        </w:tc>
      </w:tr>
      <w:tr w:rsidR="007B50B3" w:rsidRPr="00470259" w14:paraId="56D1AA9C" w14:textId="77777777" w:rsidTr="008568E4">
        <w:tc>
          <w:tcPr>
            <w:tcW w:w="3192" w:type="dxa"/>
            <w:vAlign w:val="center"/>
          </w:tcPr>
          <w:p w14:paraId="2A5C524A" w14:textId="77777777" w:rsidR="007B50B3" w:rsidRPr="00470259" w:rsidRDefault="007B50B3" w:rsidP="00B17A87">
            <w:pPr>
              <w:spacing w:before="80" w:after="80"/>
              <w:rPr>
                <w:sz w:val="22"/>
                <w:szCs w:val="22"/>
              </w:rPr>
            </w:pPr>
            <w:r w:rsidRPr="00470259">
              <w:rPr>
                <w:sz w:val="22"/>
                <w:szCs w:val="22"/>
              </w:rPr>
              <w:t>logP</w:t>
            </w:r>
          </w:p>
        </w:tc>
        <w:tc>
          <w:tcPr>
            <w:tcW w:w="3192" w:type="dxa"/>
            <w:vAlign w:val="center"/>
          </w:tcPr>
          <w:p w14:paraId="32CD9B8E" w14:textId="77777777" w:rsidR="007B50B3" w:rsidRPr="00470259" w:rsidRDefault="007B50B3" w:rsidP="00B17A87">
            <w:pPr>
              <w:spacing w:before="80" w:after="80"/>
              <w:rPr>
                <w:sz w:val="22"/>
                <w:szCs w:val="22"/>
              </w:rPr>
            </w:pPr>
            <w:r w:rsidRPr="00470259">
              <w:rPr>
                <w:sz w:val="22"/>
                <w:szCs w:val="22"/>
              </w:rPr>
              <w:t>5.29</w:t>
            </w:r>
          </w:p>
        </w:tc>
        <w:tc>
          <w:tcPr>
            <w:tcW w:w="3192" w:type="dxa"/>
            <w:vAlign w:val="center"/>
          </w:tcPr>
          <w:p w14:paraId="14D552AE" w14:textId="1D701583" w:rsidR="007B50B3" w:rsidRPr="00470259" w:rsidRDefault="00517646" w:rsidP="00B17A87">
            <w:pPr>
              <w:spacing w:before="80" w:after="80"/>
              <w:rPr>
                <w:sz w:val="22"/>
                <w:szCs w:val="22"/>
              </w:rPr>
            </w:pPr>
            <w:r w:rsidRPr="00470259">
              <w:rPr>
                <w:sz w:val="22"/>
                <w:szCs w:val="22"/>
              </w:rPr>
              <w:t>MPT-0118</w:t>
            </w:r>
            <w:r w:rsidR="008D4045" w:rsidRPr="004C7BF6">
              <w:rPr>
                <w:sz w:val="22"/>
                <w:szCs w:val="22"/>
                <w:vertAlign w:val="superscript"/>
              </w:rPr>
              <w:t>c</w:t>
            </w:r>
          </w:p>
        </w:tc>
      </w:tr>
      <w:tr w:rsidR="007B50B3" w:rsidRPr="00470259" w14:paraId="3605540F" w14:textId="77777777" w:rsidTr="008568E4">
        <w:tc>
          <w:tcPr>
            <w:tcW w:w="3192" w:type="dxa"/>
            <w:vAlign w:val="center"/>
          </w:tcPr>
          <w:p w14:paraId="448B14DD" w14:textId="28F3B39F" w:rsidR="007B50B3" w:rsidRPr="00470259" w:rsidRDefault="009F32F7" w:rsidP="00B17A87">
            <w:pPr>
              <w:spacing w:before="80" w:after="80"/>
              <w:rPr>
                <w:sz w:val="22"/>
                <w:szCs w:val="22"/>
              </w:rPr>
            </w:pPr>
            <w:r>
              <w:rPr>
                <w:sz w:val="22"/>
                <w:szCs w:val="22"/>
              </w:rPr>
              <w:t>C</w:t>
            </w:r>
            <w:r w:rsidR="007B50B3" w:rsidRPr="00470259">
              <w:rPr>
                <w:sz w:val="22"/>
                <w:szCs w:val="22"/>
              </w:rPr>
              <w:t>aco-2 permeability</w:t>
            </w:r>
          </w:p>
        </w:tc>
        <w:tc>
          <w:tcPr>
            <w:tcW w:w="3192" w:type="dxa"/>
            <w:vAlign w:val="center"/>
          </w:tcPr>
          <w:p w14:paraId="26AC353C" w14:textId="77777777" w:rsidR="007B50B3" w:rsidRPr="00470259" w:rsidRDefault="007B50B3" w:rsidP="00B17A87">
            <w:pPr>
              <w:pStyle w:val="Default"/>
              <w:spacing w:before="80" w:after="80"/>
              <w:rPr>
                <w:sz w:val="22"/>
                <w:szCs w:val="22"/>
              </w:rPr>
            </w:pPr>
            <w:r w:rsidRPr="00470259">
              <w:rPr>
                <w:sz w:val="22"/>
                <w:szCs w:val="22"/>
              </w:rPr>
              <w:t>13.73 ± 0.15 (10-6 cm/s)</w:t>
            </w:r>
            <w:r w:rsidRPr="00470259">
              <w:rPr>
                <w:sz w:val="22"/>
                <w:szCs w:val="22"/>
                <w:vertAlign w:val="superscript"/>
              </w:rPr>
              <w:t>a</w:t>
            </w:r>
          </w:p>
        </w:tc>
        <w:tc>
          <w:tcPr>
            <w:tcW w:w="3192" w:type="dxa"/>
            <w:vAlign w:val="center"/>
          </w:tcPr>
          <w:p w14:paraId="3782F532" w14:textId="1A474AD2" w:rsidR="007B50B3" w:rsidRPr="00470259" w:rsidRDefault="007B50B3" w:rsidP="00B17A87">
            <w:pPr>
              <w:spacing w:before="80" w:after="80"/>
              <w:rPr>
                <w:sz w:val="22"/>
                <w:szCs w:val="22"/>
              </w:rPr>
            </w:pPr>
            <w:r w:rsidRPr="00470259">
              <w:rPr>
                <w:sz w:val="22"/>
                <w:szCs w:val="22"/>
              </w:rPr>
              <w:t>MPT-0308</w:t>
            </w:r>
            <w:r w:rsidR="009A5907" w:rsidRPr="004C7BF6">
              <w:rPr>
                <w:sz w:val="22"/>
                <w:szCs w:val="22"/>
                <w:vertAlign w:val="superscript"/>
              </w:rPr>
              <w:t>d</w:t>
            </w:r>
          </w:p>
        </w:tc>
      </w:tr>
      <w:tr w:rsidR="007B50B3" w:rsidRPr="00470259" w14:paraId="64A9D929" w14:textId="77777777" w:rsidTr="00FD3C31">
        <w:tc>
          <w:tcPr>
            <w:tcW w:w="3192" w:type="dxa"/>
            <w:tcBorders>
              <w:bottom w:val="nil"/>
            </w:tcBorders>
            <w:vAlign w:val="center"/>
          </w:tcPr>
          <w:p w14:paraId="05769593" w14:textId="77777777" w:rsidR="007B50B3" w:rsidRPr="00470259" w:rsidRDefault="007B50B3" w:rsidP="00B17A87">
            <w:pPr>
              <w:spacing w:before="80" w:after="80"/>
              <w:rPr>
                <w:sz w:val="22"/>
                <w:szCs w:val="22"/>
              </w:rPr>
            </w:pPr>
            <w:r w:rsidRPr="00470259">
              <w:rPr>
                <w:sz w:val="22"/>
                <w:szCs w:val="22"/>
              </w:rPr>
              <w:t>MDCK-MDR1 permeability</w:t>
            </w:r>
          </w:p>
        </w:tc>
        <w:tc>
          <w:tcPr>
            <w:tcW w:w="3192" w:type="dxa"/>
            <w:vAlign w:val="center"/>
          </w:tcPr>
          <w:p w14:paraId="3154DEE0" w14:textId="494A3E02" w:rsidR="007B50B3" w:rsidRPr="00E64949" w:rsidRDefault="009F32F7" w:rsidP="00B17A87">
            <w:pPr>
              <w:pStyle w:val="Default"/>
              <w:spacing w:before="80" w:after="80"/>
              <w:rPr>
                <w:sz w:val="22"/>
                <w:szCs w:val="22"/>
                <w:lang w:val="de-DE"/>
              </w:rPr>
            </w:pPr>
            <w:proofErr w:type="spellStart"/>
            <w:r w:rsidRPr="00E64949">
              <w:rPr>
                <w:sz w:val="22"/>
                <w:szCs w:val="22"/>
                <w:lang w:val="de-DE"/>
              </w:rPr>
              <w:t>E</w:t>
            </w:r>
            <w:r w:rsidR="007B50B3" w:rsidRPr="00E64949">
              <w:rPr>
                <w:sz w:val="22"/>
                <w:szCs w:val="22"/>
                <w:lang w:val="de-DE"/>
              </w:rPr>
              <w:t>fflux</w:t>
            </w:r>
            <w:proofErr w:type="spellEnd"/>
            <w:r w:rsidR="007B50B3" w:rsidRPr="00E64949">
              <w:rPr>
                <w:sz w:val="22"/>
                <w:szCs w:val="22"/>
                <w:lang w:val="de-DE"/>
              </w:rPr>
              <w:t xml:space="preserve"> </w:t>
            </w:r>
            <w:proofErr w:type="spellStart"/>
            <w:r w:rsidR="007B50B3" w:rsidRPr="00E64949">
              <w:rPr>
                <w:sz w:val="22"/>
                <w:szCs w:val="22"/>
                <w:lang w:val="de-DE"/>
              </w:rPr>
              <w:t>ratio</w:t>
            </w:r>
            <w:proofErr w:type="spellEnd"/>
            <w:r w:rsidR="007B50B3" w:rsidRPr="00E64949">
              <w:rPr>
                <w:sz w:val="22"/>
                <w:szCs w:val="22"/>
                <w:lang w:val="de-DE"/>
              </w:rPr>
              <w:t xml:space="preserve"> [BA/AB]: 0.38</w:t>
            </w:r>
            <w:r w:rsidR="007B50B3" w:rsidRPr="00E64949">
              <w:rPr>
                <w:sz w:val="22"/>
                <w:szCs w:val="22"/>
                <w:vertAlign w:val="superscript"/>
                <w:lang w:val="de-DE"/>
              </w:rPr>
              <w:t>b</w:t>
            </w:r>
          </w:p>
        </w:tc>
        <w:tc>
          <w:tcPr>
            <w:tcW w:w="3192" w:type="dxa"/>
            <w:vAlign w:val="center"/>
          </w:tcPr>
          <w:p w14:paraId="1FF7133D" w14:textId="04EC4D59" w:rsidR="007B50B3" w:rsidRPr="00470259" w:rsidRDefault="007B50B3" w:rsidP="00B17A87">
            <w:pPr>
              <w:spacing w:before="80" w:after="80"/>
              <w:rPr>
                <w:sz w:val="22"/>
                <w:szCs w:val="22"/>
              </w:rPr>
            </w:pPr>
            <w:r w:rsidRPr="00470259">
              <w:rPr>
                <w:sz w:val="22"/>
                <w:szCs w:val="22"/>
              </w:rPr>
              <w:t>MPT-0308</w:t>
            </w:r>
            <w:r w:rsidR="008D4045" w:rsidRPr="004C7BF6">
              <w:rPr>
                <w:sz w:val="22"/>
                <w:szCs w:val="22"/>
                <w:vertAlign w:val="superscript"/>
              </w:rPr>
              <w:t>d</w:t>
            </w:r>
          </w:p>
        </w:tc>
      </w:tr>
      <w:tr w:rsidR="007B50B3" w:rsidRPr="00470259" w14:paraId="29C5F55E" w14:textId="77777777" w:rsidTr="00FD3C31">
        <w:tc>
          <w:tcPr>
            <w:tcW w:w="3192" w:type="dxa"/>
            <w:tcBorders>
              <w:top w:val="nil"/>
              <w:left w:val="nil"/>
              <w:bottom w:val="nil"/>
              <w:right w:val="nil"/>
            </w:tcBorders>
            <w:vAlign w:val="center"/>
          </w:tcPr>
          <w:p w14:paraId="49B3AAC9" w14:textId="79BE10E0" w:rsidR="007B50B3" w:rsidRPr="00470259" w:rsidRDefault="009F32F7" w:rsidP="00B17A87">
            <w:pPr>
              <w:spacing w:before="80" w:after="80"/>
              <w:rPr>
                <w:sz w:val="22"/>
                <w:szCs w:val="22"/>
              </w:rPr>
            </w:pPr>
            <w:r>
              <w:rPr>
                <w:sz w:val="22"/>
                <w:szCs w:val="22"/>
              </w:rPr>
              <w:t>A</w:t>
            </w:r>
            <w:r w:rsidR="007B50B3" w:rsidRPr="00470259">
              <w:rPr>
                <w:sz w:val="22"/>
                <w:szCs w:val="22"/>
              </w:rPr>
              <w:t>queous solubility</w:t>
            </w:r>
          </w:p>
        </w:tc>
        <w:tc>
          <w:tcPr>
            <w:tcW w:w="3192" w:type="dxa"/>
            <w:tcBorders>
              <w:left w:val="nil"/>
            </w:tcBorders>
            <w:vAlign w:val="center"/>
          </w:tcPr>
          <w:p w14:paraId="0CABCCD8" w14:textId="77777777" w:rsidR="007B50B3" w:rsidRPr="00470259" w:rsidRDefault="007B50B3" w:rsidP="00B17A87">
            <w:pPr>
              <w:spacing w:before="80" w:after="80"/>
              <w:rPr>
                <w:sz w:val="22"/>
                <w:szCs w:val="22"/>
              </w:rPr>
            </w:pPr>
            <w:r w:rsidRPr="00470259">
              <w:rPr>
                <w:sz w:val="22"/>
                <w:szCs w:val="22"/>
              </w:rPr>
              <w:t>35-50 mg/mL</w:t>
            </w:r>
          </w:p>
        </w:tc>
        <w:tc>
          <w:tcPr>
            <w:tcW w:w="3192" w:type="dxa"/>
            <w:vAlign w:val="center"/>
          </w:tcPr>
          <w:p w14:paraId="35DE3C8E" w14:textId="3A788400" w:rsidR="007B50B3" w:rsidRPr="00470259" w:rsidRDefault="007B50B3" w:rsidP="00B17A87">
            <w:pPr>
              <w:spacing w:before="80" w:after="80"/>
              <w:rPr>
                <w:sz w:val="22"/>
                <w:szCs w:val="22"/>
              </w:rPr>
            </w:pPr>
            <w:r w:rsidRPr="00470259">
              <w:rPr>
                <w:sz w:val="22"/>
                <w:szCs w:val="22"/>
              </w:rPr>
              <w:t>MPT-0118</w:t>
            </w:r>
            <w:r w:rsidR="008D4045" w:rsidRPr="004C7BF6">
              <w:rPr>
                <w:sz w:val="22"/>
                <w:szCs w:val="22"/>
                <w:vertAlign w:val="superscript"/>
              </w:rPr>
              <w:t>c</w:t>
            </w:r>
          </w:p>
        </w:tc>
      </w:tr>
      <w:tr w:rsidR="007B50B3" w:rsidRPr="00470259" w14:paraId="382B2CCD" w14:textId="77777777" w:rsidTr="00FD3C31">
        <w:tc>
          <w:tcPr>
            <w:tcW w:w="3192" w:type="dxa"/>
            <w:tcBorders>
              <w:top w:val="nil"/>
            </w:tcBorders>
            <w:vAlign w:val="center"/>
          </w:tcPr>
          <w:p w14:paraId="2A62F290" w14:textId="399EBEF8" w:rsidR="007B50B3" w:rsidRPr="00470259" w:rsidRDefault="009F32F7" w:rsidP="00B17A87">
            <w:pPr>
              <w:spacing w:before="80" w:after="80"/>
              <w:rPr>
                <w:sz w:val="22"/>
                <w:szCs w:val="22"/>
              </w:rPr>
            </w:pPr>
            <w:r>
              <w:rPr>
                <w:sz w:val="22"/>
                <w:szCs w:val="22"/>
              </w:rPr>
              <w:t>M</w:t>
            </w:r>
            <w:r w:rsidR="007B50B3" w:rsidRPr="00470259">
              <w:rPr>
                <w:sz w:val="22"/>
                <w:szCs w:val="22"/>
              </w:rPr>
              <w:t>elting point</w:t>
            </w:r>
          </w:p>
        </w:tc>
        <w:tc>
          <w:tcPr>
            <w:tcW w:w="3192" w:type="dxa"/>
            <w:vAlign w:val="center"/>
          </w:tcPr>
          <w:p w14:paraId="310048DE" w14:textId="77777777" w:rsidR="007B50B3" w:rsidRPr="00470259" w:rsidRDefault="007B50B3" w:rsidP="00B17A87">
            <w:pPr>
              <w:spacing w:before="80" w:after="80"/>
              <w:rPr>
                <w:sz w:val="22"/>
                <w:szCs w:val="22"/>
              </w:rPr>
            </w:pPr>
            <w:r w:rsidRPr="00470259">
              <w:rPr>
                <w:sz w:val="22"/>
                <w:szCs w:val="22"/>
              </w:rPr>
              <w:t>165.6°C</w:t>
            </w:r>
          </w:p>
        </w:tc>
        <w:tc>
          <w:tcPr>
            <w:tcW w:w="3192" w:type="dxa"/>
            <w:vAlign w:val="center"/>
          </w:tcPr>
          <w:p w14:paraId="72F83C38" w14:textId="0F7251F9" w:rsidR="007B50B3" w:rsidRPr="00470259" w:rsidRDefault="007B50B3" w:rsidP="00B17A87">
            <w:pPr>
              <w:spacing w:before="80" w:after="80"/>
              <w:rPr>
                <w:sz w:val="22"/>
                <w:szCs w:val="22"/>
              </w:rPr>
            </w:pPr>
            <w:r w:rsidRPr="00470259">
              <w:rPr>
                <w:sz w:val="22"/>
                <w:szCs w:val="22"/>
              </w:rPr>
              <w:t>MPT-0118</w:t>
            </w:r>
            <w:r w:rsidR="008D4045" w:rsidRPr="004C7BF6">
              <w:rPr>
                <w:sz w:val="22"/>
                <w:szCs w:val="22"/>
                <w:vertAlign w:val="superscript"/>
              </w:rPr>
              <w:t>c</w:t>
            </w:r>
          </w:p>
        </w:tc>
      </w:tr>
    </w:tbl>
    <w:p w14:paraId="3A999440" w14:textId="40FCA1C7" w:rsidR="00EF3DB3" w:rsidRDefault="00EF3DB3" w:rsidP="00B17A87">
      <w:pPr>
        <w:spacing w:after="0" w:line="240" w:lineRule="auto"/>
        <w:rPr>
          <w:bCs/>
          <w:sz w:val="20"/>
          <w:szCs w:val="20"/>
        </w:rPr>
      </w:pPr>
      <w:r>
        <w:rPr>
          <w:bCs/>
          <w:sz w:val="20"/>
          <w:szCs w:val="20"/>
        </w:rPr>
        <w:t xml:space="preserve">Abbreviations: </w:t>
      </w:r>
      <w:r w:rsidRPr="00470259">
        <w:rPr>
          <w:bCs/>
          <w:sz w:val="20"/>
          <w:szCs w:val="20"/>
        </w:rPr>
        <w:t>logP, octa</w:t>
      </w:r>
      <w:r w:rsidR="00FD3C31">
        <w:rPr>
          <w:bCs/>
          <w:sz w:val="20"/>
          <w:szCs w:val="20"/>
        </w:rPr>
        <w:t>nol–water partition coefficient.</w:t>
      </w:r>
      <w:r w:rsidRPr="00470259">
        <w:rPr>
          <w:bCs/>
          <w:sz w:val="20"/>
          <w:szCs w:val="20"/>
        </w:rPr>
        <w:t xml:space="preserve"> </w:t>
      </w:r>
    </w:p>
    <w:p w14:paraId="1F7F67F6" w14:textId="3C95CFFB" w:rsidR="00AC3E6B" w:rsidRPr="00470259" w:rsidRDefault="00EF3DB3" w:rsidP="00B17A87">
      <w:pPr>
        <w:spacing w:after="0" w:line="240" w:lineRule="auto"/>
        <w:rPr>
          <w:bCs/>
          <w:sz w:val="20"/>
          <w:szCs w:val="20"/>
        </w:rPr>
        <w:sectPr w:rsidR="00AC3E6B" w:rsidRPr="00470259">
          <w:pgSz w:w="12240" w:h="15840"/>
          <w:pgMar w:top="1440" w:right="1440" w:bottom="1440" w:left="1440" w:header="720" w:footer="720" w:gutter="0"/>
          <w:cols w:space="720"/>
          <w:docGrid w:linePitch="360"/>
        </w:sectPr>
      </w:pPr>
      <w:r w:rsidRPr="00470259">
        <w:rPr>
          <w:sz w:val="20"/>
          <w:szCs w:val="20"/>
          <w:vertAlign w:val="superscript"/>
        </w:rPr>
        <w:t xml:space="preserve"> </w:t>
      </w:r>
      <w:proofErr w:type="spellStart"/>
      <w:r w:rsidR="007B50B3" w:rsidRPr="00470259">
        <w:rPr>
          <w:sz w:val="20"/>
          <w:szCs w:val="20"/>
          <w:vertAlign w:val="superscript"/>
        </w:rPr>
        <w:t>a</w:t>
      </w:r>
      <w:r w:rsidR="007B50B3" w:rsidRPr="00470259">
        <w:rPr>
          <w:sz w:val="20"/>
          <w:szCs w:val="20"/>
        </w:rPr>
        <w:t>Mean</w:t>
      </w:r>
      <w:proofErr w:type="spellEnd"/>
      <w:r w:rsidR="007B50B3" w:rsidRPr="00470259">
        <w:rPr>
          <w:sz w:val="20"/>
          <w:szCs w:val="20"/>
        </w:rPr>
        <w:t xml:space="preserve"> apparent AB permeability coefficient.</w:t>
      </w:r>
      <w:r w:rsidR="007B50B3" w:rsidRPr="00470259">
        <w:rPr>
          <w:sz w:val="20"/>
          <w:szCs w:val="20"/>
          <w:vertAlign w:val="superscript"/>
        </w:rPr>
        <w:t xml:space="preserve"> </w:t>
      </w:r>
      <w:proofErr w:type="spellStart"/>
      <w:r w:rsidR="007B50B3" w:rsidRPr="00470259">
        <w:rPr>
          <w:sz w:val="20"/>
          <w:szCs w:val="20"/>
          <w:vertAlign w:val="superscript"/>
        </w:rPr>
        <w:t>b</w:t>
      </w:r>
      <w:r w:rsidR="007B50B3" w:rsidRPr="00470259">
        <w:rPr>
          <w:sz w:val="20"/>
          <w:szCs w:val="20"/>
        </w:rPr>
        <w:t>Not</w:t>
      </w:r>
      <w:proofErr w:type="spellEnd"/>
      <w:r w:rsidR="007B50B3" w:rsidRPr="00470259">
        <w:rPr>
          <w:sz w:val="20"/>
          <w:szCs w:val="20"/>
        </w:rPr>
        <w:t xml:space="preserve"> a PGP substrate</w:t>
      </w:r>
      <w:r w:rsidR="007B50B3" w:rsidRPr="00470259">
        <w:rPr>
          <w:bCs/>
          <w:sz w:val="20"/>
          <w:szCs w:val="20"/>
        </w:rPr>
        <w:t>.</w:t>
      </w:r>
      <w:r w:rsidR="009A5907">
        <w:rPr>
          <w:bCs/>
          <w:sz w:val="20"/>
          <w:szCs w:val="20"/>
        </w:rPr>
        <w:t xml:space="preserve"> </w:t>
      </w:r>
      <w:r w:rsidR="009A5907" w:rsidRPr="004C7BF6">
        <w:rPr>
          <w:bCs/>
          <w:sz w:val="20"/>
          <w:szCs w:val="20"/>
          <w:vertAlign w:val="superscript"/>
        </w:rPr>
        <w:t>c</w:t>
      </w:r>
      <w:r w:rsidR="009A5907" w:rsidRPr="000A326C">
        <w:rPr>
          <w:bCs/>
          <w:sz w:val="20"/>
          <w:szCs w:val="20"/>
        </w:rPr>
        <w:t>(</w:t>
      </w:r>
      <w:r w:rsidR="009A5907" w:rsidRPr="000A326C">
        <w:rPr>
          <w:bCs/>
          <w:i/>
          <w:sz w:val="20"/>
          <w:szCs w:val="20"/>
        </w:rPr>
        <w:t>S</w:t>
      </w:r>
      <w:r w:rsidR="009A5907">
        <w:rPr>
          <w:bCs/>
          <w:sz w:val="20"/>
          <w:szCs w:val="20"/>
        </w:rPr>
        <w:t>)-m</w:t>
      </w:r>
      <w:r w:rsidR="009A5907" w:rsidRPr="000A326C">
        <w:rPr>
          <w:bCs/>
          <w:sz w:val="20"/>
          <w:szCs w:val="20"/>
        </w:rPr>
        <w:t>epazine</w:t>
      </w:r>
      <w:r w:rsidR="009A5907">
        <w:rPr>
          <w:bCs/>
          <w:sz w:val="20"/>
          <w:szCs w:val="20"/>
        </w:rPr>
        <w:t xml:space="preserve"> succinate. </w:t>
      </w:r>
      <w:r w:rsidR="009A5907" w:rsidRPr="00FC26B7">
        <w:rPr>
          <w:bCs/>
          <w:sz w:val="20"/>
          <w:szCs w:val="20"/>
          <w:vertAlign w:val="superscript"/>
        </w:rPr>
        <w:t>d</w:t>
      </w:r>
      <w:r w:rsidR="009A5907" w:rsidRPr="000A326C">
        <w:rPr>
          <w:bCs/>
          <w:sz w:val="20"/>
          <w:szCs w:val="20"/>
        </w:rPr>
        <w:t>(</w:t>
      </w:r>
      <w:r w:rsidR="009A5907" w:rsidRPr="000A326C">
        <w:rPr>
          <w:bCs/>
          <w:i/>
          <w:sz w:val="20"/>
          <w:szCs w:val="20"/>
        </w:rPr>
        <w:t>S</w:t>
      </w:r>
      <w:r w:rsidR="009A5907">
        <w:rPr>
          <w:bCs/>
          <w:sz w:val="20"/>
          <w:szCs w:val="20"/>
        </w:rPr>
        <w:t>)-m</w:t>
      </w:r>
      <w:r w:rsidR="009A5907" w:rsidRPr="000A326C">
        <w:rPr>
          <w:bCs/>
          <w:sz w:val="20"/>
          <w:szCs w:val="20"/>
        </w:rPr>
        <w:t>epazine</w:t>
      </w:r>
      <w:r w:rsidR="009A5907">
        <w:rPr>
          <w:bCs/>
          <w:sz w:val="20"/>
          <w:szCs w:val="20"/>
        </w:rPr>
        <w:t xml:space="preserve"> hydrochloride.</w:t>
      </w:r>
      <w:r w:rsidR="007B50B3" w:rsidRPr="00470259">
        <w:rPr>
          <w:bCs/>
          <w:sz w:val="20"/>
          <w:szCs w:val="20"/>
        </w:rPr>
        <w:t xml:space="preserve"> </w:t>
      </w:r>
    </w:p>
    <w:p w14:paraId="75C4073B" w14:textId="31EAF88D" w:rsidR="007B50B3" w:rsidRDefault="00C03512" w:rsidP="00B17A87">
      <w:pPr>
        <w:pStyle w:val="Heading2"/>
      </w:pPr>
      <w:bookmarkStart w:id="13" w:name="_Toc108434919"/>
      <w:bookmarkStart w:id="14" w:name="_Toc108472482"/>
      <w:r>
        <w:lastRenderedPageBreak/>
        <w:t xml:space="preserve">Table S3. Plasma Pharmacokinetic Parameters of MPT-0118 and MPT-0308 in Male </w:t>
      </w:r>
      <w:r w:rsidRPr="00875F29">
        <w:t>C57BL</w:t>
      </w:r>
      <w:r>
        <w:t>/</w:t>
      </w:r>
      <w:r w:rsidRPr="00875F29">
        <w:t>6</w:t>
      </w:r>
      <w:r>
        <w:t>J</w:t>
      </w:r>
      <w:r w:rsidRPr="00875F29">
        <w:t xml:space="preserve"> </w:t>
      </w:r>
      <w:r>
        <w:t xml:space="preserve">Mice After a Single </w:t>
      </w:r>
      <w:proofErr w:type="spellStart"/>
      <w:r>
        <w:t>Dose</w:t>
      </w:r>
      <w:r w:rsidR="002D6C56" w:rsidRPr="002D6C56">
        <w:rPr>
          <w:vertAlign w:val="superscript"/>
        </w:rPr>
        <w:t>a</w:t>
      </w:r>
      <w:bookmarkEnd w:id="13"/>
      <w:bookmarkEnd w:id="14"/>
      <w:proofErr w:type="spellEnd"/>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16"/>
        <w:gridCol w:w="1877"/>
        <w:gridCol w:w="1719"/>
        <w:gridCol w:w="1719"/>
        <w:gridCol w:w="1719"/>
      </w:tblGrid>
      <w:tr w:rsidR="007B50B3" w:rsidRPr="00446DA4" w14:paraId="04AE36C3" w14:textId="77777777" w:rsidTr="00AC3E6B">
        <w:tc>
          <w:tcPr>
            <w:tcW w:w="1239" w:type="pct"/>
            <w:shd w:val="clear" w:color="auto" w:fill="BFBFBF" w:themeFill="background1" w:themeFillShade="BF"/>
            <w:noWrap/>
            <w:vAlign w:val="bottom"/>
            <w:hideMark/>
          </w:tcPr>
          <w:p w14:paraId="7C564B7B" w14:textId="77777777" w:rsidR="007B50B3" w:rsidRPr="00446DA4" w:rsidRDefault="007B50B3" w:rsidP="00B17A87">
            <w:pPr>
              <w:spacing w:before="80" w:after="80" w:line="240" w:lineRule="auto"/>
            </w:pPr>
            <w:r w:rsidRPr="00446DA4">
              <w:t>Parameter</w:t>
            </w:r>
          </w:p>
        </w:tc>
        <w:tc>
          <w:tcPr>
            <w:tcW w:w="1004" w:type="pct"/>
            <w:shd w:val="clear" w:color="auto" w:fill="BFBFBF" w:themeFill="background1" w:themeFillShade="BF"/>
            <w:vAlign w:val="bottom"/>
            <w:hideMark/>
          </w:tcPr>
          <w:p w14:paraId="159AA100" w14:textId="77777777" w:rsidR="007B50B3" w:rsidRPr="00446DA4" w:rsidRDefault="007B50B3" w:rsidP="00B17A87">
            <w:pPr>
              <w:spacing w:before="80" w:after="80" w:line="240" w:lineRule="auto"/>
            </w:pPr>
            <w:r w:rsidRPr="00446DA4">
              <w:t>Unit</w:t>
            </w:r>
          </w:p>
        </w:tc>
        <w:tc>
          <w:tcPr>
            <w:tcW w:w="919" w:type="pct"/>
            <w:shd w:val="clear" w:color="auto" w:fill="BFBFBF" w:themeFill="background1" w:themeFillShade="BF"/>
            <w:hideMark/>
          </w:tcPr>
          <w:p w14:paraId="681F4574" w14:textId="77777777" w:rsidR="007B50B3" w:rsidRPr="00446DA4" w:rsidRDefault="007B50B3" w:rsidP="00B17A87">
            <w:pPr>
              <w:spacing w:before="80" w:after="80" w:line="240" w:lineRule="auto"/>
            </w:pPr>
            <w:r w:rsidRPr="00446DA4">
              <w:t>MPT-0308</w:t>
            </w:r>
            <w:r w:rsidRPr="00446DA4">
              <w:br/>
              <w:t>32 mg/kg IP</w:t>
            </w:r>
          </w:p>
        </w:tc>
        <w:tc>
          <w:tcPr>
            <w:tcW w:w="919" w:type="pct"/>
            <w:shd w:val="clear" w:color="auto" w:fill="BFBFBF" w:themeFill="background1" w:themeFillShade="BF"/>
            <w:hideMark/>
          </w:tcPr>
          <w:p w14:paraId="12B865C9" w14:textId="77777777" w:rsidR="007B50B3" w:rsidRPr="00446DA4" w:rsidRDefault="007B50B3" w:rsidP="00B17A87">
            <w:pPr>
              <w:spacing w:before="80" w:after="80" w:line="240" w:lineRule="auto"/>
            </w:pPr>
            <w:r w:rsidRPr="00446DA4">
              <w:t xml:space="preserve">MPT-0308 </w:t>
            </w:r>
            <w:r w:rsidRPr="00446DA4">
              <w:br/>
              <w:t>64 mg/kg PO</w:t>
            </w:r>
          </w:p>
        </w:tc>
        <w:tc>
          <w:tcPr>
            <w:tcW w:w="919" w:type="pct"/>
            <w:shd w:val="clear" w:color="auto" w:fill="BFBFBF" w:themeFill="background1" w:themeFillShade="BF"/>
            <w:hideMark/>
          </w:tcPr>
          <w:p w14:paraId="4725800C" w14:textId="77777777" w:rsidR="007B50B3" w:rsidRPr="00446DA4" w:rsidRDefault="007B50B3" w:rsidP="00B17A87">
            <w:pPr>
              <w:spacing w:before="80" w:after="80" w:line="240" w:lineRule="auto"/>
            </w:pPr>
            <w:r w:rsidRPr="00446DA4">
              <w:t xml:space="preserve">MPT-0118 </w:t>
            </w:r>
            <w:r w:rsidRPr="00446DA4">
              <w:br/>
              <w:t>64 mg/kg PO</w:t>
            </w:r>
          </w:p>
        </w:tc>
      </w:tr>
      <w:tr w:rsidR="007B50B3" w:rsidRPr="00446DA4" w14:paraId="5D47155C" w14:textId="77777777" w:rsidTr="00AC3E6B">
        <w:tc>
          <w:tcPr>
            <w:tcW w:w="1239" w:type="pct"/>
            <w:shd w:val="clear" w:color="auto" w:fill="auto"/>
            <w:noWrap/>
            <w:vAlign w:val="bottom"/>
            <w:hideMark/>
          </w:tcPr>
          <w:p w14:paraId="2A77879F" w14:textId="32A3FD22" w:rsidR="007B50B3" w:rsidRPr="00446DA4" w:rsidRDefault="007B50B3" w:rsidP="00B17A87">
            <w:pPr>
              <w:spacing w:before="80" w:after="80" w:line="240" w:lineRule="auto"/>
            </w:pPr>
            <w:proofErr w:type="spellStart"/>
            <w:r w:rsidRPr="00446DA4">
              <w:t>Dose</w:t>
            </w:r>
            <w:r w:rsidR="002D6C56">
              <w:rPr>
                <w:vertAlign w:val="superscript"/>
              </w:rPr>
              <w:t>b</w:t>
            </w:r>
            <w:proofErr w:type="spellEnd"/>
          </w:p>
        </w:tc>
        <w:tc>
          <w:tcPr>
            <w:tcW w:w="1004" w:type="pct"/>
            <w:shd w:val="clear" w:color="auto" w:fill="auto"/>
            <w:noWrap/>
            <w:vAlign w:val="bottom"/>
            <w:hideMark/>
          </w:tcPr>
          <w:p w14:paraId="469A9BC1" w14:textId="77777777" w:rsidR="007B50B3" w:rsidRPr="00446DA4" w:rsidRDefault="007B50B3" w:rsidP="00B17A87">
            <w:pPr>
              <w:spacing w:before="80" w:after="80" w:line="240" w:lineRule="auto"/>
            </w:pPr>
            <w:r w:rsidRPr="00446DA4">
              <w:t>mg/kg</w:t>
            </w:r>
          </w:p>
        </w:tc>
        <w:tc>
          <w:tcPr>
            <w:tcW w:w="919" w:type="pct"/>
            <w:shd w:val="clear" w:color="auto" w:fill="auto"/>
            <w:noWrap/>
            <w:vAlign w:val="bottom"/>
            <w:hideMark/>
          </w:tcPr>
          <w:p w14:paraId="34560F69" w14:textId="77777777" w:rsidR="007B50B3" w:rsidRPr="00446DA4" w:rsidRDefault="007B50B3" w:rsidP="00B17A87">
            <w:pPr>
              <w:spacing w:before="80" w:after="80" w:line="240" w:lineRule="auto"/>
            </w:pPr>
            <w:r w:rsidRPr="00446DA4">
              <w:t>32</w:t>
            </w:r>
          </w:p>
        </w:tc>
        <w:tc>
          <w:tcPr>
            <w:tcW w:w="919" w:type="pct"/>
            <w:shd w:val="clear" w:color="auto" w:fill="auto"/>
            <w:noWrap/>
            <w:vAlign w:val="bottom"/>
            <w:hideMark/>
          </w:tcPr>
          <w:p w14:paraId="6499EFE1" w14:textId="77777777" w:rsidR="007B50B3" w:rsidRPr="00446DA4" w:rsidRDefault="007B50B3" w:rsidP="00B17A87">
            <w:pPr>
              <w:spacing w:before="80" w:after="80" w:line="240" w:lineRule="auto"/>
            </w:pPr>
            <w:r w:rsidRPr="00446DA4">
              <w:t>64</w:t>
            </w:r>
          </w:p>
        </w:tc>
        <w:tc>
          <w:tcPr>
            <w:tcW w:w="919" w:type="pct"/>
            <w:shd w:val="clear" w:color="auto" w:fill="auto"/>
            <w:noWrap/>
            <w:vAlign w:val="bottom"/>
            <w:hideMark/>
          </w:tcPr>
          <w:p w14:paraId="0094888C" w14:textId="77777777" w:rsidR="007B50B3" w:rsidRPr="00446DA4" w:rsidRDefault="007B50B3" w:rsidP="00B17A87">
            <w:pPr>
              <w:spacing w:before="80" w:after="80" w:line="240" w:lineRule="auto"/>
            </w:pPr>
            <w:r w:rsidRPr="00446DA4">
              <w:t>64</w:t>
            </w:r>
          </w:p>
        </w:tc>
      </w:tr>
      <w:tr w:rsidR="007B50B3" w:rsidRPr="00446DA4" w14:paraId="62ADEC09" w14:textId="77777777" w:rsidTr="00AC3E6B">
        <w:tc>
          <w:tcPr>
            <w:tcW w:w="1239" w:type="pct"/>
            <w:shd w:val="clear" w:color="auto" w:fill="auto"/>
            <w:noWrap/>
            <w:vAlign w:val="bottom"/>
            <w:hideMark/>
          </w:tcPr>
          <w:p w14:paraId="0B0B549A" w14:textId="77777777" w:rsidR="007B50B3" w:rsidRPr="00446DA4" w:rsidRDefault="007B50B3" w:rsidP="00B17A87">
            <w:pPr>
              <w:spacing w:before="80" w:after="80" w:line="240" w:lineRule="auto"/>
            </w:pPr>
            <w:r w:rsidRPr="00446DA4">
              <w:t>t</w:t>
            </w:r>
            <w:r w:rsidRPr="00446DA4">
              <w:rPr>
                <w:vertAlign w:val="subscript"/>
              </w:rPr>
              <w:t>1/2</w:t>
            </w:r>
          </w:p>
        </w:tc>
        <w:tc>
          <w:tcPr>
            <w:tcW w:w="1004" w:type="pct"/>
            <w:shd w:val="clear" w:color="auto" w:fill="auto"/>
            <w:noWrap/>
            <w:vAlign w:val="bottom"/>
            <w:hideMark/>
          </w:tcPr>
          <w:p w14:paraId="4CB93F48" w14:textId="77777777" w:rsidR="007B50B3" w:rsidRPr="00446DA4" w:rsidRDefault="007B50B3" w:rsidP="00B17A87">
            <w:pPr>
              <w:spacing w:before="80" w:after="80" w:line="240" w:lineRule="auto"/>
            </w:pPr>
            <w:r w:rsidRPr="00446DA4">
              <w:t>h</w:t>
            </w:r>
          </w:p>
        </w:tc>
        <w:tc>
          <w:tcPr>
            <w:tcW w:w="919" w:type="pct"/>
            <w:shd w:val="clear" w:color="auto" w:fill="auto"/>
            <w:noWrap/>
            <w:vAlign w:val="bottom"/>
            <w:hideMark/>
          </w:tcPr>
          <w:p w14:paraId="79BD94DB" w14:textId="77777777" w:rsidR="007B50B3" w:rsidRPr="00446DA4" w:rsidRDefault="007B50B3" w:rsidP="00B17A87">
            <w:pPr>
              <w:spacing w:before="80" w:after="80" w:line="240" w:lineRule="auto"/>
            </w:pPr>
            <w:r w:rsidRPr="00446DA4">
              <w:t>2.82</w:t>
            </w:r>
          </w:p>
        </w:tc>
        <w:tc>
          <w:tcPr>
            <w:tcW w:w="919" w:type="pct"/>
            <w:shd w:val="clear" w:color="auto" w:fill="auto"/>
            <w:noWrap/>
            <w:vAlign w:val="bottom"/>
            <w:hideMark/>
          </w:tcPr>
          <w:p w14:paraId="79047E61" w14:textId="77777777" w:rsidR="007B50B3" w:rsidRPr="00446DA4" w:rsidRDefault="007B50B3" w:rsidP="00B17A87">
            <w:pPr>
              <w:spacing w:before="80" w:after="80" w:line="240" w:lineRule="auto"/>
            </w:pPr>
            <w:r w:rsidRPr="00446DA4">
              <w:t>4.37</w:t>
            </w:r>
          </w:p>
        </w:tc>
        <w:tc>
          <w:tcPr>
            <w:tcW w:w="919" w:type="pct"/>
            <w:shd w:val="clear" w:color="auto" w:fill="auto"/>
            <w:noWrap/>
            <w:vAlign w:val="bottom"/>
            <w:hideMark/>
          </w:tcPr>
          <w:p w14:paraId="3C7153F0" w14:textId="77777777" w:rsidR="007B50B3" w:rsidRPr="00446DA4" w:rsidRDefault="007B50B3" w:rsidP="00B17A87">
            <w:pPr>
              <w:spacing w:before="80" w:after="80" w:line="240" w:lineRule="auto"/>
            </w:pPr>
            <w:r w:rsidRPr="00446DA4">
              <w:t>3.36</w:t>
            </w:r>
          </w:p>
        </w:tc>
      </w:tr>
      <w:tr w:rsidR="007B50B3" w:rsidRPr="00446DA4" w14:paraId="2B00D838" w14:textId="77777777" w:rsidTr="00AC3E6B">
        <w:tc>
          <w:tcPr>
            <w:tcW w:w="1239" w:type="pct"/>
            <w:shd w:val="clear" w:color="auto" w:fill="auto"/>
            <w:noWrap/>
            <w:vAlign w:val="bottom"/>
            <w:hideMark/>
          </w:tcPr>
          <w:p w14:paraId="45450AE8" w14:textId="77777777" w:rsidR="007B50B3" w:rsidRPr="00446DA4" w:rsidRDefault="007B50B3" w:rsidP="00B17A87">
            <w:pPr>
              <w:spacing w:before="80" w:after="80" w:line="240" w:lineRule="auto"/>
            </w:pPr>
            <w:r w:rsidRPr="00446DA4">
              <w:t>T</w:t>
            </w:r>
            <w:r w:rsidRPr="00446DA4">
              <w:rPr>
                <w:vertAlign w:val="subscript"/>
              </w:rPr>
              <w:t>max</w:t>
            </w:r>
          </w:p>
        </w:tc>
        <w:tc>
          <w:tcPr>
            <w:tcW w:w="1004" w:type="pct"/>
            <w:shd w:val="clear" w:color="auto" w:fill="auto"/>
            <w:noWrap/>
            <w:vAlign w:val="bottom"/>
            <w:hideMark/>
          </w:tcPr>
          <w:p w14:paraId="04C046DE" w14:textId="77777777" w:rsidR="007B50B3" w:rsidRPr="00446DA4" w:rsidRDefault="007B50B3" w:rsidP="00B17A87">
            <w:pPr>
              <w:spacing w:before="80" w:after="80" w:line="240" w:lineRule="auto"/>
            </w:pPr>
            <w:r w:rsidRPr="00446DA4">
              <w:t>h</w:t>
            </w:r>
          </w:p>
        </w:tc>
        <w:tc>
          <w:tcPr>
            <w:tcW w:w="919" w:type="pct"/>
            <w:shd w:val="clear" w:color="auto" w:fill="auto"/>
            <w:noWrap/>
            <w:vAlign w:val="bottom"/>
            <w:hideMark/>
          </w:tcPr>
          <w:p w14:paraId="5F6B6B4B" w14:textId="77777777" w:rsidR="007B50B3" w:rsidRPr="00446DA4" w:rsidRDefault="007B50B3" w:rsidP="00B17A87">
            <w:pPr>
              <w:spacing w:before="80" w:after="80" w:line="240" w:lineRule="auto"/>
            </w:pPr>
            <w:r w:rsidRPr="00446DA4">
              <w:t>1</w:t>
            </w:r>
          </w:p>
        </w:tc>
        <w:tc>
          <w:tcPr>
            <w:tcW w:w="919" w:type="pct"/>
            <w:shd w:val="clear" w:color="auto" w:fill="auto"/>
            <w:noWrap/>
            <w:vAlign w:val="bottom"/>
            <w:hideMark/>
          </w:tcPr>
          <w:p w14:paraId="37000260" w14:textId="77777777" w:rsidR="007B50B3" w:rsidRPr="00446DA4" w:rsidRDefault="007B50B3" w:rsidP="00B17A87">
            <w:pPr>
              <w:spacing w:before="80" w:after="80" w:line="240" w:lineRule="auto"/>
            </w:pPr>
            <w:r w:rsidRPr="00446DA4">
              <w:t>2</w:t>
            </w:r>
          </w:p>
        </w:tc>
        <w:tc>
          <w:tcPr>
            <w:tcW w:w="919" w:type="pct"/>
            <w:shd w:val="clear" w:color="auto" w:fill="auto"/>
            <w:noWrap/>
            <w:vAlign w:val="bottom"/>
            <w:hideMark/>
          </w:tcPr>
          <w:p w14:paraId="1667E675" w14:textId="77777777" w:rsidR="007B50B3" w:rsidRPr="00446DA4" w:rsidRDefault="007B50B3" w:rsidP="00B17A87">
            <w:pPr>
              <w:spacing w:before="80" w:after="80" w:line="240" w:lineRule="auto"/>
            </w:pPr>
            <w:r w:rsidRPr="00446DA4">
              <w:t>2</w:t>
            </w:r>
          </w:p>
        </w:tc>
      </w:tr>
      <w:tr w:rsidR="007B50B3" w:rsidRPr="00446DA4" w14:paraId="4FD32EF9" w14:textId="77777777" w:rsidTr="00AC3E6B">
        <w:tc>
          <w:tcPr>
            <w:tcW w:w="1239" w:type="pct"/>
            <w:shd w:val="clear" w:color="auto" w:fill="auto"/>
            <w:noWrap/>
            <w:vAlign w:val="bottom"/>
            <w:hideMark/>
          </w:tcPr>
          <w:p w14:paraId="5A739B48" w14:textId="77777777" w:rsidR="007B50B3" w:rsidRPr="00446DA4" w:rsidRDefault="007B50B3" w:rsidP="00B17A87">
            <w:pPr>
              <w:spacing w:before="80" w:after="80" w:line="240" w:lineRule="auto"/>
            </w:pPr>
            <w:proofErr w:type="spellStart"/>
            <w:r w:rsidRPr="00446DA4">
              <w:t>C</w:t>
            </w:r>
            <w:r w:rsidRPr="00446DA4">
              <w:rPr>
                <w:vertAlign w:val="subscript"/>
              </w:rPr>
              <w:t>max</w:t>
            </w:r>
            <w:proofErr w:type="spellEnd"/>
          </w:p>
        </w:tc>
        <w:tc>
          <w:tcPr>
            <w:tcW w:w="1004" w:type="pct"/>
            <w:shd w:val="clear" w:color="auto" w:fill="auto"/>
            <w:noWrap/>
            <w:vAlign w:val="bottom"/>
            <w:hideMark/>
          </w:tcPr>
          <w:p w14:paraId="2019092D" w14:textId="3395F32C" w:rsidR="007B50B3" w:rsidRPr="00446DA4" w:rsidRDefault="00EA492A" w:rsidP="00B17A87">
            <w:pPr>
              <w:spacing w:before="80" w:after="80" w:line="240" w:lineRule="auto"/>
            </w:pPr>
            <w:r>
              <w:t>ng/mL</w:t>
            </w:r>
          </w:p>
        </w:tc>
        <w:tc>
          <w:tcPr>
            <w:tcW w:w="919" w:type="pct"/>
            <w:shd w:val="clear" w:color="auto" w:fill="auto"/>
            <w:noWrap/>
            <w:vAlign w:val="bottom"/>
            <w:hideMark/>
          </w:tcPr>
          <w:p w14:paraId="7B81CC06" w14:textId="77777777" w:rsidR="007B50B3" w:rsidRPr="00446DA4" w:rsidRDefault="007B50B3" w:rsidP="00B17A87">
            <w:pPr>
              <w:spacing w:before="80" w:after="80" w:line="240" w:lineRule="auto"/>
            </w:pPr>
            <w:r w:rsidRPr="00446DA4">
              <w:t>1563</w:t>
            </w:r>
          </w:p>
        </w:tc>
        <w:tc>
          <w:tcPr>
            <w:tcW w:w="919" w:type="pct"/>
            <w:shd w:val="clear" w:color="auto" w:fill="auto"/>
            <w:noWrap/>
            <w:vAlign w:val="bottom"/>
            <w:hideMark/>
          </w:tcPr>
          <w:p w14:paraId="3D7D09BA" w14:textId="77777777" w:rsidR="007B50B3" w:rsidRPr="00446DA4" w:rsidRDefault="007B50B3" w:rsidP="00B17A87">
            <w:pPr>
              <w:spacing w:before="80" w:after="80" w:line="240" w:lineRule="auto"/>
            </w:pPr>
            <w:r w:rsidRPr="00446DA4">
              <w:t>1177</w:t>
            </w:r>
          </w:p>
        </w:tc>
        <w:tc>
          <w:tcPr>
            <w:tcW w:w="919" w:type="pct"/>
            <w:shd w:val="clear" w:color="auto" w:fill="auto"/>
            <w:noWrap/>
            <w:vAlign w:val="bottom"/>
            <w:hideMark/>
          </w:tcPr>
          <w:p w14:paraId="00EAEEAE" w14:textId="77777777" w:rsidR="007B50B3" w:rsidRPr="00446DA4" w:rsidRDefault="007B50B3" w:rsidP="00B17A87">
            <w:pPr>
              <w:spacing w:before="80" w:after="80" w:line="240" w:lineRule="auto"/>
            </w:pPr>
            <w:r w:rsidRPr="00446DA4">
              <w:t>1543</w:t>
            </w:r>
          </w:p>
        </w:tc>
      </w:tr>
      <w:tr w:rsidR="007B50B3" w:rsidRPr="00446DA4" w14:paraId="5DCAA0D3" w14:textId="77777777" w:rsidTr="00AC3E6B">
        <w:tc>
          <w:tcPr>
            <w:tcW w:w="1239" w:type="pct"/>
            <w:shd w:val="clear" w:color="auto" w:fill="auto"/>
            <w:noWrap/>
            <w:vAlign w:val="bottom"/>
            <w:hideMark/>
          </w:tcPr>
          <w:p w14:paraId="73BDF546" w14:textId="77777777" w:rsidR="007B50B3" w:rsidRPr="00446DA4" w:rsidRDefault="007B50B3" w:rsidP="00B17A87">
            <w:pPr>
              <w:spacing w:before="80" w:after="80" w:line="240" w:lineRule="auto"/>
            </w:pPr>
            <w:r w:rsidRPr="00446DA4">
              <w:t xml:space="preserve">AUC </w:t>
            </w:r>
            <w:r w:rsidRPr="00446DA4">
              <w:rPr>
                <w:vertAlign w:val="subscript"/>
              </w:rPr>
              <w:t>0-t</w:t>
            </w:r>
          </w:p>
        </w:tc>
        <w:tc>
          <w:tcPr>
            <w:tcW w:w="1004" w:type="pct"/>
            <w:shd w:val="clear" w:color="auto" w:fill="auto"/>
            <w:noWrap/>
            <w:vAlign w:val="bottom"/>
            <w:hideMark/>
          </w:tcPr>
          <w:p w14:paraId="59777C88" w14:textId="2AB2547E" w:rsidR="007B50B3" w:rsidRPr="00446DA4" w:rsidRDefault="00EA492A" w:rsidP="00B17A87">
            <w:pPr>
              <w:spacing w:before="80" w:after="80" w:line="240" w:lineRule="auto"/>
            </w:pPr>
            <w:r>
              <w:t>ng/mL</w:t>
            </w:r>
            <w:r w:rsidR="007B50B3" w:rsidRPr="00446DA4">
              <w:t>*h</w:t>
            </w:r>
          </w:p>
        </w:tc>
        <w:tc>
          <w:tcPr>
            <w:tcW w:w="919" w:type="pct"/>
            <w:shd w:val="clear" w:color="auto" w:fill="auto"/>
            <w:noWrap/>
            <w:vAlign w:val="bottom"/>
            <w:hideMark/>
          </w:tcPr>
          <w:p w14:paraId="57F16238" w14:textId="77777777" w:rsidR="007B50B3" w:rsidRPr="00446DA4" w:rsidRDefault="007B50B3" w:rsidP="00B17A87">
            <w:pPr>
              <w:spacing w:before="80" w:after="80" w:line="240" w:lineRule="auto"/>
            </w:pPr>
            <w:r w:rsidRPr="00446DA4">
              <w:t>6921</w:t>
            </w:r>
          </w:p>
        </w:tc>
        <w:tc>
          <w:tcPr>
            <w:tcW w:w="919" w:type="pct"/>
            <w:shd w:val="clear" w:color="auto" w:fill="auto"/>
            <w:noWrap/>
            <w:vAlign w:val="bottom"/>
            <w:hideMark/>
          </w:tcPr>
          <w:p w14:paraId="6251DF00" w14:textId="77777777" w:rsidR="007B50B3" w:rsidRPr="00446DA4" w:rsidRDefault="007B50B3" w:rsidP="00B17A87">
            <w:pPr>
              <w:spacing w:before="80" w:after="80" w:line="240" w:lineRule="auto"/>
            </w:pPr>
            <w:r w:rsidRPr="00446DA4">
              <w:t>6012</w:t>
            </w:r>
          </w:p>
        </w:tc>
        <w:tc>
          <w:tcPr>
            <w:tcW w:w="919" w:type="pct"/>
            <w:shd w:val="clear" w:color="auto" w:fill="auto"/>
            <w:noWrap/>
            <w:vAlign w:val="bottom"/>
            <w:hideMark/>
          </w:tcPr>
          <w:p w14:paraId="79E4E8F9" w14:textId="77777777" w:rsidR="007B50B3" w:rsidRPr="00446DA4" w:rsidRDefault="007B50B3" w:rsidP="00B17A87">
            <w:pPr>
              <w:spacing w:before="80" w:after="80" w:line="240" w:lineRule="auto"/>
            </w:pPr>
            <w:r w:rsidRPr="00446DA4">
              <w:t>8746</w:t>
            </w:r>
          </w:p>
        </w:tc>
      </w:tr>
    </w:tbl>
    <w:p w14:paraId="4983AC4E" w14:textId="42DF3287" w:rsidR="00EF3DB3" w:rsidRDefault="00EF3DB3" w:rsidP="00B17A87">
      <w:pPr>
        <w:pStyle w:val="C-TableFootnote"/>
        <w:ind w:left="0" w:firstLine="0"/>
      </w:pPr>
      <w:r>
        <w:t xml:space="preserve">Abbreviations: </w:t>
      </w:r>
      <w:r w:rsidRPr="003F6F5F">
        <w:t>AUC</w:t>
      </w:r>
      <w:r w:rsidRPr="00446DA4">
        <w:rPr>
          <w:vertAlign w:val="subscript"/>
        </w:rPr>
        <w:t>0-t</w:t>
      </w:r>
      <w:r w:rsidRPr="003F6F5F">
        <w:t xml:space="preserve">, </w:t>
      </w:r>
      <w:r w:rsidR="00C03512">
        <w:t xml:space="preserve">area under the concentration-time curve </w:t>
      </w:r>
      <w:r>
        <w:t>from time 0</w:t>
      </w:r>
      <w:r w:rsidRPr="003F6F5F">
        <w:t xml:space="preserve"> to time ‘t’;</w:t>
      </w:r>
      <w:r w:rsidR="00866BF9">
        <w:t xml:space="preserve"> </w:t>
      </w:r>
      <w:proofErr w:type="spellStart"/>
      <w:r>
        <w:t>C</w:t>
      </w:r>
      <w:r w:rsidRPr="00DC0C7B">
        <w:rPr>
          <w:vertAlign w:val="subscript"/>
        </w:rPr>
        <w:t>max</w:t>
      </w:r>
      <w:proofErr w:type="spellEnd"/>
      <w:r>
        <w:t>, maximum concentration; IP, intraperitoneal, PO, oral; t</w:t>
      </w:r>
      <w:r w:rsidRPr="00DC0C7B">
        <w:rPr>
          <w:vertAlign w:val="subscript"/>
        </w:rPr>
        <w:t>1/2</w:t>
      </w:r>
      <w:r>
        <w:t>, half-life; T</w:t>
      </w:r>
      <w:r w:rsidRPr="00DC0C7B">
        <w:rPr>
          <w:vertAlign w:val="subscript"/>
        </w:rPr>
        <w:t>max</w:t>
      </w:r>
      <w:r>
        <w:t>, time to reach maximum concentration.</w:t>
      </w:r>
    </w:p>
    <w:p w14:paraId="648F5B4F" w14:textId="0444F283" w:rsidR="003454B4" w:rsidRDefault="00866BF9" w:rsidP="00B17A87">
      <w:pPr>
        <w:pStyle w:val="C-TableFootnote"/>
        <w:ind w:left="0" w:firstLine="0"/>
        <w:sectPr w:rsidR="003454B4">
          <w:pgSz w:w="12240" w:h="15840"/>
          <w:pgMar w:top="1440" w:right="1440" w:bottom="1440" w:left="1440" w:header="720" w:footer="720" w:gutter="0"/>
          <w:cols w:space="720"/>
          <w:docGrid w:linePitch="360"/>
        </w:sectPr>
      </w:pPr>
      <w:proofErr w:type="spellStart"/>
      <w:r w:rsidRPr="00866BF9">
        <w:rPr>
          <w:vertAlign w:val="superscript"/>
        </w:rPr>
        <w:t>a</w:t>
      </w:r>
      <w:r w:rsidR="002D6C56">
        <w:t>Plasma</w:t>
      </w:r>
      <w:proofErr w:type="spellEnd"/>
      <w:r w:rsidR="002D6C56">
        <w:t xml:space="preserve"> samples obtained at 1, 2, 4, and 12 </w:t>
      </w:r>
      <w:r w:rsidR="002D6C56" w:rsidRPr="002D6C56">
        <w:t xml:space="preserve">hours </w:t>
      </w:r>
      <w:r w:rsidR="002D6C56">
        <w:t>post</w:t>
      </w:r>
      <w:r w:rsidR="00726E43">
        <w:t>-</w:t>
      </w:r>
      <w:r w:rsidR="002D6C56">
        <w:t>dose.</w:t>
      </w:r>
      <w:r w:rsidR="009A5907">
        <w:t xml:space="preserve"> MPT-0118 and MPT-0308 are the succinate and hydrochloride salts of </w:t>
      </w:r>
      <w:r w:rsidR="009A5907" w:rsidRPr="000A326C">
        <w:rPr>
          <w:bCs/>
        </w:rPr>
        <w:t>(</w:t>
      </w:r>
      <w:r w:rsidR="009A5907" w:rsidRPr="000A326C">
        <w:rPr>
          <w:bCs/>
          <w:i/>
        </w:rPr>
        <w:t>S</w:t>
      </w:r>
      <w:r w:rsidR="009A5907">
        <w:rPr>
          <w:bCs/>
        </w:rPr>
        <w:t>)-m</w:t>
      </w:r>
      <w:r w:rsidR="009A5907" w:rsidRPr="000A326C">
        <w:rPr>
          <w:bCs/>
        </w:rPr>
        <w:t>epazine</w:t>
      </w:r>
      <w:r w:rsidR="00524C04">
        <w:rPr>
          <w:bCs/>
        </w:rPr>
        <w:t>, respectively</w:t>
      </w:r>
      <w:r w:rsidR="009A5907">
        <w:rPr>
          <w:bCs/>
        </w:rPr>
        <w:t>.</w:t>
      </w:r>
      <w:r w:rsidR="002D6C56">
        <w:t xml:space="preserve"> </w:t>
      </w:r>
      <w:proofErr w:type="spellStart"/>
      <w:r w:rsidR="002D6C56" w:rsidRPr="002D6C56">
        <w:rPr>
          <w:vertAlign w:val="superscript"/>
        </w:rPr>
        <w:t>b</w:t>
      </w:r>
      <w:r w:rsidR="007B50B3" w:rsidRPr="002D6C56">
        <w:t>Doses</w:t>
      </w:r>
      <w:proofErr w:type="spellEnd"/>
      <w:r w:rsidR="007B50B3" w:rsidRPr="002D6C56">
        <w:t xml:space="preserve"> </w:t>
      </w:r>
      <w:r w:rsidR="007B50B3">
        <w:t>expressed as (</w:t>
      </w:r>
      <w:r w:rsidR="007B50B3" w:rsidRPr="006913A4">
        <w:rPr>
          <w:i/>
          <w:iCs/>
        </w:rPr>
        <w:t>S</w:t>
      </w:r>
      <w:r w:rsidR="007B50B3">
        <w:t>)-</w:t>
      </w:r>
      <w:proofErr w:type="spellStart"/>
      <w:r w:rsidR="007B50B3">
        <w:t>mepazine</w:t>
      </w:r>
      <w:proofErr w:type="spellEnd"/>
      <w:r w:rsidR="007B50B3">
        <w:t xml:space="preserve"> free-base.</w:t>
      </w:r>
      <w:r w:rsidR="001A0216">
        <w:t xml:space="preserve"> </w:t>
      </w:r>
    </w:p>
    <w:p w14:paraId="56A1736C" w14:textId="77777777" w:rsidR="00BD14CC" w:rsidRPr="00043D36" w:rsidRDefault="00BD14CC" w:rsidP="00BD14CC">
      <w:pPr>
        <w:pStyle w:val="Heading2"/>
      </w:pPr>
      <w:bookmarkStart w:id="15" w:name="_Toc108472483"/>
      <w:bookmarkStart w:id="16" w:name="_Toc108434922"/>
      <w:r w:rsidRPr="00043D36">
        <w:lastRenderedPageBreak/>
        <w:t>Table S4. Mean Plasma and Tissue Pharmacokinetics in Fasted Female ICR Mice and Female Wistar Rats Following a Single Oral 16 mg/kg Dose of MPT-0308</w:t>
      </w:r>
      <w:r w:rsidRPr="00FC26B7">
        <w:rPr>
          <w:vertAlign w:val="superscript"/>
        </w:rPr>
        <w:t>a</w:t>
      </w:r>
      <w:bookmarkEnd w:id="15"/>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08"/>
        <w:gridCol w:w="990"/>
        <w:gridCol w:w="1080"/>
        <w:gridCol w:w="990"/>
        <w:gridCol w:w="990"/>
        <w:gridCol w:w="1080"/>
        <w:gridCol w:w="1080"/>
        <w:gridCol w:w="6"/>
        <w:gridCol w:w="1032"/>
        <w:gridCol w:w="1037"/>
      </w:tblGrid>
      <w:tr w:rsidR="00BD14CC" w:rsidRPr="003454B4" w14:paraId="5852AAF1" w14:textId="77777777" w:rsidTr="008525D9">
        <w:trPr>
          <w:trHeight w:val="405"/>
        </w:trPr>
        <w:tc>
          <w:tcPr>
            <w:tcW w:w="1008" w:type="dxa"/>
            <w:shd w:val="clear" w:color="auto" w:fill="BFBFBF" w:themeFill="background1" w:themeFillShade="BF"/>
            <w:vAlign w:val="center"/>
          </w:tcPr>
          <w:p w14:paraId="0AD5ECD9" w14:textId="77777777" w:rsidR="00BD14CC" w:rsidRPr="003454B4" w:rsidRDefault="00BD14CC" w:rsidP="008525D9">
            <w:pPr>
              <w:spacing w:before="80" w:after="80" w:line="240" w:lineRule="auto"/>
              <w:rPr>
                <w:sz w:val="22"/>
                <w:szCs w:val="22"/>
              </w:rPr>
            </w:pPr>
            <w:r w:rsidRPr="003454B4">
              <w:rPr>
                <w:sz w:val="22"/>
                <w:szCs w:val="22"/>
              </w:rPr>
              <w:t>Plasma or tissues</w:t>
            </w:r>
          </w:p>
        </w:tc>
        <w:tc>
          <w:tcPr>
            <w:tcW w:w="2070" w:type="dxa"/>
            <w:gridSpan w:val="2"/>
            <w:shd w:val="clear" w:color="auto" w:fill="BFBFBF" w:themeFill="background1" w:themeFillShade="BF"/>
            <w:vAlign w:val="center"/>
          </w:tcPr>
          <w:p w14:paraId="4BEC08EA" w14:textId="77777777" w:rsidR="00BD14CC" w:rsidRPr="003454B4" w:rsidRDefault="00BD14CC" w:rsidP="008525D9">
            <w:pPr>
              <w:spacing w:before="80" w:after="80" w:line="240" w:lineRule="auto"/>
              <w:rPr>
                <w:sz w:val="22"/>
                <w:szCs w:val="22"/>
              </w:rPr>
            </w:pPr>
            <w:proofErr w:type="spellStart"/>
            <w:r w:rsidRPr="003454B4">
              <w:rPr>
                <w:sz w:val="22"/>
                <w:szCs w:val="22"/>
              </w:rPr>
              <w:t>Cmax</w:t>
            </w:r>
            <w:proofErr w:type="spellEnd"/>
          </w:p>
          <w:p w14:paraId="391EC8CF" w14:textId="77777777" w:rsidR="00BD14CC" w:rsidRPr="003454B4" w:rsidRDefault="00BD14CC" w:rsidP="008525D9">
            <w:pPr>
              <w:spacing w:before="80" w:after="80" w:line="240" w:lineRule="auto"/>
              <w:rPr>
                <w:sz w:val="22"/>
                <w:szCs w:val="22"/>
              </w:rPr>
            </w:pPr>
            <w:r w:rsidRPr="003454B4">
              <w:rPr>
                <w:sz w:val="22"/>
                <w:szCs w:val="22"/>
              </w:rPr>
              <w:t>(ng/g)</w:t>
            </w:r>
          </w:p>
        </w:tc>
        <w:tc>
          <w:tcPr>
            <w:tcW w:w="1980" w:type="dxa"/>
            <w:gridSpan w:val="2"/>
            <w:shd w:val="clear" w:color="auto" w:fill="BFBFBF" w:themeFill="background1" w:themeFillShade="BF"/>
            <w:vAlign w:val="center"/>
          </w:tcPr>
          <w:p w14:paraId="6D0A71D5" w14:textId="77777777" w:rsidR="00BD14CC" w:rsidRPr="003454B4" w:rsidRDefault="00BD14CC" w:rsidP="008525D9">
            <w:pPr>
              <w:spacing w:before="80" w:after="80" w:line="240" w:lineRule="auto"/>
              <w:rPr>
                <w:sz w:val="22"/>
                <w:szCs w:val="22"/>
              </w:rPr>
            </w:pPr>
            <w:r w:rsidRPr="003454B4">
              <w:rPr>
                <w:sz w:val="22"/>
                <w:szCs w:val="22"/>
              </w:rPr>
              <w:t>Tmax</w:t>
            </w:r>
          </w:p>
          <w:p w14:paraId="44BDE0E7" w14:textId="77777777" w:rsidR="00BD14CC" w:rsidRPr="003454B4" w:rsidRDefault="00BD14CC" w:rsidP="008525D9">
            <w:pPr>
              <w:spacing w:before="80" w:after="80" w:line="240" w:lineRule="auto"/>
              <w:rPr>
                <w:sz w:val="22"/>
                <w:szCs w:val="22"/>
              </w:rPr>
            </w:pPr>
            <w:r w:rsidRPr="003454B4">
              <w:rPr>
                <w:sz w:val="22"/>
                <w:szCs w:val="22"/>
              </w:rPr>
              <w:t>(h)</w:t>
            </w:r>
          </w:p>
        </w:tc>
        <w:tc>
          <w:tcPr>
            <w:tcW w:w="2160" w:type="dxa"/>
            <w:gridSpan w:val="2"/>
            <w:shd w:val="clear" w:color="auto" w:fill="BFBFBF" w:themeFill="background1" w:themeFillShade="BF"/>
            <w:vAlign w:val="center"/>
          </w:tcPr>
          <w:p w14:paraId="4369E6BE" w14:textId="77777777" w:rsidR="00BD14CC" w:rsidRPr="003454B4" w:rsidRDefault="00BD14CC" w:rsidP="008525D9">
            <w:pPr>
              <w:spacing w:before="80" w:after="80" w:line="240" w:lineRule="auto"/>
              <w:rPr>
                <w:sz w:val="22"/>
                <w:szCs w:val="22"/>
              </w:rPr>
            </w:pPr>
            <w:r w:rsidRPr="003454B4">
              <w:rPr>
                <w:sz w:val="22"/>
                <w:szCs w:val="22"/>
              </w:rPr>
              <w:t>AUC0-last</w:t>
            </w:r>
          </w:p>
          <w:p w14:paraId="50C5E548" w14:textId="77777777" w:rsidR="00BD14CC" w:rsidRPr="003454B4" w:rsidRDefault="00BD14CC" w:rsidP="008525D9">
            <w:pPr>
              <w:spacing w:before="80" w:after="80" w:line="240" w:lineRule="auto"/>
              <w:rPr>
                <w:sz w:val="22"/>
                <w:szCs w:val="22"/>
              </w:rPr>
            </w:pPr>
            <w:r w:rsidRPr="003454B4">
              <w:rPr>
                <w:sz w:val="22"/>
                <w:szCs w:val="22"/>
              </w:rPr>
              <w:t>(</w:t>
            </w:r>
            <w:proofErr w:type="spellStart"/>
            <w:r w:rsidRPr="003454B4">
              <w:rPr>
                <w:sz w:val="22"/>
                <w:szCs w:val="22"/>
              </w:rPr>
              <w:t>ng•h</w:t>
            </w:r>
            <w:proofErr w:type="spellEnd"/>
            <w:r w:rsidRPr="003454B4">
              <w:rPr>
                <w:sz w:val="22"/>
                <w:szCs w:val="22"/>
              </w:rPr>
              <w:t>/mL)</w:t>
            </w:r>
          </w:p>
        </w:tc>
        <w:tc>
          <w:tcPr>
            <w:tcW w:w="2075" w:type="dxa"/>
            <w:gridSpan w:val="3"/>
            <w:shd w:val="clear" w:color="auto" w:fill="BFBFBF" w:themeFill="background1" w:themeFillShade="BF"/>
            <w:vAlign w:val="center"/>
          </w:tcPr>
          <w:p w14:paraId="52F9E853" w14:textId="77777777" w:rsidR="00BD14CC" w:rsidRPr="003454B4" w:rsidRDefault="00BD14CC" w:rsidP="008525D9">
            <w:pPr>
              <w:spacing w:before="80" w:after="80" w:line="240" w:lineRule="auto"/>
              <w:rPr>
                <w:sz w:val="22"/>
                <w:szCs w:val="22"/>
              </w:rPr>
            </w:pPr>
            <w:r>
              <w:rPr>
                <w:sz w:val="22"/>
                <w:szCs w:val="22"/>
              </w:rPr>
              <w:t xml:space="preserve">Tissue </w:t>
            </w:r>
            <w:proofErr w:type="spellStart"/>
            <w:r>
              <w:rPr>
                <w:sz w:val="22"/>
                <w:szCs w:val="22"/>
              </w:rPr>
              <w:t>AUC:p</w:t>
            </w:r>
            <w:r w:rsidRPr="003454B4">
              <w:rPr>
                <w:sz w:val="22"/>
                <w:szCs w:val="22"/>
              </w:rPr>
              <w:t>lasma</w:t>
            </w:r>
            <w:proofErr w:type="spellEnd"/>
            <w:r w:rsidRPr="003454B4">
              <w:rPr>
                <w:sz w:val="22"/>
                <w:szCs w:val="22"/>
              </w:rPr>
              <w:t xml:space="preserve"> AUC ratio</w:t>
            </w:r>
          </w:p>
        </w:tc>
      </w:tr>
      <w:tr w:rsidR="00BD14CC" w:rsidRPr="003454B4" w14:paraId="46E70702" w14:textId="77777777" w:rsidTr="008525D9">
        <w:trPr>
          <w:trHeight w:val="152"/>
        </w:trPr>
        <w:tc>
          <w:tcPr>
            <w:tcW w:w="1008" w:type="dxa"/>
            <w:vAlign w:val="center"/>
          </w:tcPr>
          <w:p w14:paraId="7674C3E0" w14:textId="77777777" w:rsidR="00BD14CC" w:rsidRPr="003454B4" w:rsidRDefault="00BD14CC" w:rsidP="008525D9">
            <w:pPr>
              <w:spacing w:before="80" w:after="80" w:line="240" w:lineRule="auto"/>
              <w:rPr>
                <w:sz w:val="22"/>
                <w:szCs w:val="22"/>
              </w:rPr>
            </w:pPr>
          </w:p>
        </w:tc>
        <w:tc>
          <w:tcPr>
            <w:tcW w:w="990" w:type="dxa"/>
            <w:vAlign w:val="center"/>
          </w:tcPr>
          <w:p w14:paraId="788B70E4" w14:textId="77777777" w:rsidR="00BD14CC" w:rsidRPr="003454B4" w:rsidRDefault="00BD14CC" w:rsidP="008525D9">
            <w:pPr>
              <w:spacing w:before="80" w:after="80" w:line="240" w:lineRule="auto"/>
              <w:rPr>
                <w:sz w:val="22"/>
                <w:szCs w:val="22"/>
              </w:rPr>
            </w:pPr>
            <w:r>
              <w:rPr>
                <w:sz w:val="22"/>
                <w:szCs w:val="22"/>
              </w:rPr>
              <w:t>M</w:t>
            </w:r>
            <w:r w:rsidRPr="003454B4">
              <w:rPr>
                <w:sz w:val="22"/>
                <w:szCs w:val="22"/>
              </w:rPr>
              <w:t>ice</w:t>
            </w:r>
          </w:p>
        </w:tc>
        <w:tc>
          <w:tcPr>
            <w:tcW w:w="1080" w:type="dxa"/>
            <w:vAlign w:val="center"/>
          </w:tcPr>
          <w:p w14:paraId="1876D93C" w14:textId="77777777" w:rsidR="00BD14CC" w:rsidRPr="003454B4" w:rsidRDefault="00BD14CC" w:rsidP="008525D9">
            <w:pPr>
              <w:spacing w:before="80" w:after="80" w:line="240" w:lineRule="auto"/>
              <w:rPr>
                <w:sz w:val="22"/>
                <w:szCs w:val="22"/>
              </w:rPr>
            </w:pPr>
            <w:r>
              <w:rPr>
                <w:sz w:val="22"/>
                <w:szCs w:val="22"/>
              </w:rPr>
              <w:t>R</w:t>
            </w:r>
            <w:r w:rsidRPr="003454B4">
              <w:rPr>
                <w:sz w:val="22"/>
                <w:szCs w:val="22"/>
              </w:rPr>
              <w:t>ats</w:t>
            </w:r>
          </w:p>
        </w:tc>
        <w:tc>
          <w:tcPr>
            <w:tcW w:w="990" w:type="dxa"/>
            <w:vAlign w:val="center"/>
          </w:tcPr>
          <w:p w14:paraId="227896C2" w14:textId="77777777" w:rsidR="00BD14CC" w:rsidRPr="003454B4" w:rsidRDefault="00BD14CC" w:rsidP="008525D9">
            <w:pPr>
              <w:spacing w:before="80" w:after="80" w:line="240" w:lineRule="auto"/>
              <w:rPr>
                <w:sz w:val="22"/>
                <w:szCs w:val="22"/>
              </w:rPr>
            </w:pPr>
            <w:r>
              <w:rPr>
                <w:sz w:val="22"/>
                <w:szCs w:val="22"/>
              </w:rPr>
              <w:t>M</w:t>
            </w:r>
            <w:r w:rsidRPr="003454B4">
              <w:rPr>
                <w:sz w:val="22"/>
                <w:szCs w:val="22"/>
              </w:rPr>
              <w:t>ice</w:t>
            </w:r>
          </w:p>
        </w:tc>
        <w:tc>
          <w:tcPr>
            <w:tcW w:w="990" w:type="dxa"/>
            <w:vAlign w:val="center"/>
          </w:tcPr>
          <w:p w14:paraId="073C60A7" w14:textId="77777777" w:rsidR="00BD14CC" w:rsidRPr="003454B4" w:rsidRDefault="00BD14CC" w:rsidP="008525D9">
            <w:pPr>
              <w:spacing w:before="80" w:after="80" w:line="240" w:lineRule="auto"/>
              <w:rPr>
                <w:sz w:val="22"/>
                <w:szCs w:val="22"/>
              </w:rPr>
            </w:pPr>
            <w:r>
              <w:rPr>
                <w:sz w:val="22"/>
                <w:szCs w:val="22"/>
              </w:rPr>
              <w:t>R</w:t>
            </w:r>
            <w:r w:rsidRPr="003454B4">
              <w:rPr>
                <w:sz w:val="22"/>
                <w:szCs w:val="22"/>
              </w:rPr>
              <w:t>ats</w:t>
            </w:r>
          </w:p>
        </w:tc>
        <w:tc>
          <w:tcPr>
            <w:tcW w:w="1080" w:type="dxa"/>
            <w:vAlign w:val="center"/>
          </w:tcPr>
          <w:p w14:paraId="3254A7C8" w14:textId="77777777" w:rsidR="00BD14CC" w:rsidRPr="003454B4" w:rsidRDefault="00BD14CC" w:rsidP="008525D9">
            <w:pPr>
              <w:spacing w:before="80" w:after="80" w:line="240" w:lineRule="auto"/>
              <w:rPr>
                <w:sz w:val="22"/>
                <w:szCs w:val="22"/>
              </w:rPr>
            </w:pPr>
            <w:r>
              <w:rPr>
                <w:sz w:val="22"/>
                <w:szCs w:val="22"/>
              </w:rPr>
              <w:t>M</w:t>
            </w:r>
            <w:r w:rsidRPr="003454B4">
              <w:rPr>
                <w:sz w:val="22"/>
                <w:szCs w:val="22"/>
              </w:rPr>
              <w:t>ice</w:t>
            </w:r>
          </w:p>
        </w:tc>
        <w:tc>
          <w:tcPr>
            <w:tcW w:w="1080" w:type="dxa"/>
            <w:vAlign w:val="center"/>
          </w:tcPr>
          <w:p w14:paraId="74B57793" w14:textId="77777777" w:rsidR="00BD14CC" w:rsidRPr="003454B4" w:rsidRDefault="00BD14CC" w:rsidP="008525D9">
            <w:pPr>
              <w:spacing w:before="80" w:after="80" w:line="240" w:lineRule="auto"/>
              <w:rPr>
                <w:sz w:val="22"/>
                <w:szCs w:val="22"/>
              </w:rPr>
            </w:pPr>
            <w:r>
              <w:rPr>
                <w:sz w:val="22"/>
                <w:szCs w:val="22"/>
              </w:rPr>
              <w:t>R</w:t>
            </w:r>
            <w:r w:rsidRPr="003454B4">
              <w:rPr>
                <w:sz w:val="22"/>
                <w:szCs w:val="22"/>
              </w:rPr>
              <w:t>ats</w:t>
            </w:r>
          </w:p>
        </w:tc>
        <w:tc>
          <w:tcPr>
            <w:tcW w:w="1038" w:type="dxa"/>
            <w:gridSpan w:val="2"/>
            <w:vAlign w:val="center"/>
          </w:tcPr>
          <w:p w14:paraId="70B92D06" w14:textId="77777777" w:rsidR="00BD14CC" w:rsidRPr="003454B4" w:rsidRDefault="00BD14CC" w:rsidP="008525D9">
            <w:pPr>
              <w:spacing w:before="80" w:after="80" w:line="240" w:lineRule="auto"/>
              <w:rPr>
                <w:sz w:val="22"/>
                <w:szCs w:val="22"/>
              </w:rPr>
            </w:pPr>
            <w:r>
              <w:rPr>
                <w:sz w:val="22"/>
                <w:szCs w:val="22"/>
              </w:rPr>
              <w:t>M</w:t>
            </w:r>
            <w:r w:rsidRPr="003454B4">
              <w:rPr>
                <w:sz w:val="22"/>
                <w:szCs w:val="22"/>
              </w:rPr>
              <w:t>ice</w:t>
            </w:r>
          </w:p>
        </w:tc>
        <w:tc>
          <w:tcPr>
            <w:tcW w:w="1037" w:type="dxa"/>
            <w:vAlign w:val="center"/>
          </w:tcPr>
          <w:p w14:paraId="0B012B4E" w14:textId="77777777" w:rsidR="00BD14CC" w:rsidRPr="003454B4" w:rsidRDefault="00BD14CC" w:rsidP="008525D9">
            <w:pPr>
              <w:spacing w:before="80" w:after="80" w:line="240" w:lineRule="auto"/>
              <w:rPr>
                <w:sz w:val="22"/>
                <w:szCs w:val="22"/>
              </w:rPr>
            </w:pPr>
            <w:r>
              <w:rPr>
                <w:sz w:val="22"/>
                <w:szCs w:val="22"/>
              </w:rPr>
              <w:t>R</w:t>
            </w:r>
            <w:r w:rsidRPr="003454B4">
              <w:rPr>
                <w:sz w:val="22"/>
                <w:szCs w:val="22"/>
              </w:rPr>
              <w:t>ats</w:t>
            </w:r>
          </w:p>
        </w:tc>
      </w:tr>
      <w:tr w:rsidR="00BD14CC" w:rsidRPr="003454B4" w14:paraId="5E77074A" w14:textId="77777777" w:rsidTr="008525D9">
        <w:trPr>
          <w:trHeight w:val="148"/>
        </w:trPr>
        <w:tc>
          <w:tcPr>
            <w:tcW w:w="1008" w:type="dxa"/>
            <w:vAlign w:val="center"/>
          </w:tcPr>
          <w:p w14:paraId="2804AFFE" w14:textId="77777777" w:rsidR="00BD14CC" w:rsidRPr="003454B4" w:rsidRDefault="00BD14CC" w:rsidP="008525D9">
            <w:pPr>
              <w:spacing w:before="80" w:after="80" w:line="240" w:lineRule="auto"/>
              <w:rPr>
                <w:sz w:val="22"/>
                <w:szCs w:val="22"/>
              </w:rPr>
            </w:pPr>
            <w:r w:rsidRPr="003454B4">
              <w:rPr>
                <w:sz w:val="22"/>
                <w:szCs w:val="22"/>
              </w:rPr>
              <w:t>Plasma</w:t>
            </w:r>
          </w:p>
        </w:tc>
        <w:tc>
          <w:tcPr>
            <w:tcW w:w="990" w:type="dxa"/>
            <w:vAlign w:val="center"/>
          </w:tcPr>
          <w:p w14:paraId="56E07C10" w14:textId="77777777" w:rsidR="00BD14CC" w:rsidRPr="003454B4" w:rsidRDefault="00BD14CC" w:rsidP="008525D9">
            <w:pPr>
              <w:spacing w:before="80" w:after="80" w:line="240" w:lineRule="auto"/>
              <w:rPr>
                <w:sz w:val="22"/>
                <w:szCs w:val="22"/>
              </w:rPr>
            </w:pPr>
            <w:r w:rsidRPr="003454B4">
              <w:rPr>
                <w:sz w:val="22"/>
                <w:szCs w:val="22"/>
              </w:rPr>
              <w:t>339</w:t>
            </w:r>
            <w:r>
              <w:rPr>
                <w:sz w:val="22"/>
                <w:szCs w:val="22"/>
                <w:vertAlign w:val="superscript"/>
              </w:rPr>
              <w:t>b</w:t>
            </w:r>
          </w:p>
        </w:tc>
        <w:tc>
          <w:tcPr>
            <w:tcW w:w="1080" w:type="dxa"/>
            <w:vAlign w:val="center"/>
          </w:tcPr>
          <w:p w14:paraId="7D045504" w14:textId="77777777" w:rsidR="00BD14CC" w:rsidRPr="003454B4" w:rsidRDefault="00BD14CC" w:rsidP="008525D9">
            <w:pPr>
              <w:spacing w:before="80" w:after="80" w:line="240" w:lineRule="auto"/>
              <w:rPr>
                <w:sz w:val="22"/>
                <w:szCs w:val="22"/>
              </w:rPr>
            </w:pPr>
            <w:r w:rsidRPr="003454B4">
              <w:rPr>
                <w:sz w:val="22"/>
                <w:szCs w:val="22"/>
              </w:rPr>
              <w:t>421</w:t>
            </w:r>
            <w:r>
              <w:rPr>
                <w:sz w:val="22"/>
                <w:szCs w:val="22"/>
                <w:vertAlign w:val="superscript"/>
              </w:rPr>
              <w:t>b</w:t>
            </w:r>
          </w:p>
        </w:tc>
        <w:tc>
          <w:tcPr>
            <w:tcW w:w="990" w:type="dxa"/>
            <w:vAlign w:val="center"/>
          </w:tcPr>
          <w:p w14:paraId="2A3E672D" w14:textId="77777777" w:rsidR="00BD14CC" w:rsidRPr="003454B4" w:rsidRDefault="00BD14CC" w:rsidP="008525D9">
            <w:pPr>
              <w:spacing w:before="80" w:after="80" w:line="240" w:lineRule="auto"/>
              <w:rPr>
                <w:sz w:val="22"/>
                <w:szCs w:val="22"/>
              </w:rPr>
            </w:pPr>
            <w:r w:rsidRPr="003454B4">
              <w:rPr>
                <w:sz w:val="22"/>
                <w:szCs w:val="22"/>
              </w:rPr>
              <w:t>1.0</w:t>
            </w:r>
          </w:p>
        </w:tc>
        <w:tc>
          <w:tcPr>
            <w:tcW w:w="990" w:type="dxa"/>
            <w:vAlign w:val="center"/>
          </w:tcPr>
          <w:p w14:paraId="3708F267"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6D483713" w14:textId="77777777" w:rsidR="00BD14CC" w:rsidRPr="003454B4" w:rsidRDefault="00BD14CC" w:rsidP="008525D9">
            <w:pPr>
              <w:spacing w:before="80" w:after="80" w:line="240" w:lineRule="auto"/>
              <w:rPr>
                <w:sz w:val="22"/>
                <w:szCs w:val="22"/>
              </w:rPr>
            </w:pPr>
            <w:r w:rsidRPr="003454B4">
              <w:rPr>
                <w:sz w:val="22"/>
                <w:szCs w:val="22"/>
              </w:rPr>
              <w:t>1345</w:t>
            </w:r>
          </w:p>
        </w:tc>
        <w:tc>
          <w:tcPr>
            <w:tcW w:w="1080" w:type="dxa"/>
            <w:vAlign w:val="center"/>
          </w:tcPr>
          <w:p w14:paraId="0675D60E" w14:textId="77777777" w:rsidR="00BD14CC" w:rsidRPr="003454B4" w:rsidRDefault="00BD14CC" w:rsidP="008525D9">
            <w:pPr>
              <w:spacing w:before="80" w:after="80" w:line="240" w:lineRule="auto"/>
              <w:rPr>
                <w:sz w:val="22"/>
                <w:szCs w:val="22"/>
              </w:rPr>
            </w:pPr>
            <w:r w:rsidRPr="003454B4">
              <w:rPr>
                <w:sz w:val="22"/>
                <w:szCs w:val="22"/>
              </w:rPr>
              <w:t>4093</w:t>
            </w:r>
          </w:p>
        </w:tc>
        <w:tc>
          <w:tcPr>
            <w:tcW w:w="1038" w:type="dxa"/>
            <w:gridSpan w:val="2"/>
            <w:vAlign w:val="center"/>
          </w:tcPr>
          <w:p w14:paraId="71A19E31" w14:textId="77777777" w:rsidR="00BD14CC" w:rsidRPr="003454B4" w:rsidRDefault="00BD14CC" w:rsidP="008525D9">
            <w:pPr>
              <w:spacing w:before="80" w:after="80" w:line="240" w:lineRule="auto"/>
              <w:rPr>
                <w:sz w:val="22"/>
                <w:szCs w:val="22"/>
              </w:rPr>
            </w:pPr>
            <w:r w:rsidRPr="003454B4">
              <w:rPr>
                <w:sz w:val="22"/>
                <w:szCs w:val="22"/>
              </w:rPr>
              <w:t>--</w:t>
            </w:r>
          </w:p>
        </w:tc>
        <w:tc>
          <w:tcPr>
            <w:tcW w:w="1037" w:type="dxa"/>
            <w:vAlign w:val="center"/>
          </w:tcPr>
          <w:p w14:paraId="603EA619" w14:textId="77777777" w:rsidR="00BD14CC" w:rsidRPr="003454B4" w:rsidRDefault="00BD14CC" w:rsidP="008525D9">
            <w:pPr>
              <w:spacing w:before="80" w:after="80" w:line="240" w:lineRule="auto"/>
              <w:rPr>
                <w:sz w:val="22"/>
                <w:szCs w:val="22"/>
              </w:rPr>
            </w:pPr>
            <w:r w:rsidRPr="003454B4">
              <w:rPr>
                <w:sz w:val="22"/>
                <w:szCs w:val="22"/>
              </w:rPr>
              <w:t>--</w:t>
            </w:r>
          </w:p>
        </w:tc>
      </w:tr>
      <w:tr w:rsidR="00BD14CC" w:rsidRPr="003454B4" w14:paraId="6F603849" w14:textId="77777777" w:rsidTr="008525D9">
        <w:trPr>
          <w:trHeight w:val="148"/>
        </w:trPr>
        <w:tc>
          <w:tcPr>
            <w:tcW w:w="1008" w:type="dxa"/>
            <w:vAlign w:val="center"/>
          </w:tcPr>
          <w:p w14:paraId="175F858A" w14:textId="77777777" w:rsidR="00BD14CC" w:rsidRPr="003454B4" w:rsidRDefault="00BD14CC" w:rsidP="008525D9">
            <w:pPr>
              <w:spacing w:before="80" w:after="80" w:line="240" w:lineRule="auto"/>
              <w:rPr>
                <w:sz w:val="22"/>
                <w:szCs w:val="22"/>
              </w:rPr>
            </w:pPr>
            <w:r w:rsidRPr="003454B4">
              <w:rPr>
                <w:sz w:val="22"/>
                <w:szCs w:val="22"/>
              </w:rPr>
              <w:t>Lung</w:t>
            </w:r>
          </w:p>
        </w:tc>
        <w:tc>
          <w:tcPr>
            <w:tcW w:w="990" w:type="dxa"/>
            <w:vAlign w:val="center"/>
          </w:tcPr>
          <w:p w14:paraId="4692C8F0" w14:textId="77777777" w:rsidR="00BD14CC" w:rsidRPr="003454B4" w:rsidRDefault="00BD14CC" w:rsidP="008525D9">
            <w:pPr>
              <w:spacing w:before="80" w:after="80" w:line="240" w:lineRule="auto"/>
              <w:rPr>
                <w:sz w:val="22"/>
                <w:szCs w:val="22"/>
              </w:rPr>
            </w:pPr>
            <w:r w:rsidRPr="003454B4">
              <w:rPr>
                <w:sz w:val="22"/>
                <w:szCs w:val="22"/>
              </w:rPr>
              <w:t>10153</w:t>
            </w:r>
          </w:p>
        </w:tc>
        <w:tc>
          <w:tcPr>
            <w:tcW w:w="1080" w:type="dxa"/>
            <w:vAlign w:val="center"/>
          </w:tcPr>
          <w:p w14:paraId="083375CF" w14:textId="77777777" w:rsidR="00BD14CC" w:rsidRPr="003454B4" w:rsidRDefault="00BD14CC" w:rsidP="008525D9">
            <w:pPr>
              <w:spacing w:before="80" w:after="80" w:line="240" w:lineRule="auto"/>
              <w:rPr>
                <w:sz w:val="22"/>
                <w:szCs w:val="22"/>
              </w:rPr>
            </w:pPr>
            <w:r w:rsidRPr="003454B4">
              <w:rPr>
                <w:sz w:val="22"/>
                <w:szCs w:val="22"/>
              </w:rPr>
              <w:t>19067</w:t>
            </w:r>
          </w:p>
        </w:tc>
        <w:tc>
          <w:tcPr>
            <w:tcW w:w="990" w:type="dxa"/>
            <w:vAlign w:val="center"/>
          </w:tcPr>
          <w:p w14:paraId="393B38C7" w14:textId="77777777" w:rsidR="00BD14CC" w:rsidRPr="003454B4" w:rsidRDefault="00BD14CC" w:rsidP="008525D9">
            <w:pPr>
              <w:spacing w:before="80" w:after="80" w:line="240" w:lineRule="auto"/>
              <w:rPr>
                <w:sz w:val="22"/>
                <w:szCs w:val="22"/>
              </w:rPr>
            </w:pPr>
            <w:r w:rsidRPr="003454B4">
              <w:rPr>
                <w:sz w:val="22"/>
                <w:szCs w:val="22"/>
              </w:rPr>
              <w:t>1.0</w:t>
            </w:r>
          </w:p>
        </w:tc>
        <w:tc>
          <w:tcPr>
            <w:tcW w:w="990" w:type="dxa"/>
            <w:vAlign w:val="center"/>
          </w:tcPr>
          <w:p w14:paraId="2FFDF513"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3CAF9805" w14:textId="77777777" w:rsidR="00BD14CC" w:rsidRPr="003454B4" w:rsidRDefault="00BD14CC" w:rsidP="008525D9">
            <w:pPr>
              <w:spacing w:before="80" w:after="80" w:line="240" w:lineRule="auto"/>
              <w:rPr>
                <w:sz w:val="22"/>
                <w:szCs w:val="22"/>
              </w:rPr>
            </w:pPr>
            <w:r w:rsidRPr="003454B4">
              <w:rPr>
                <w:sz w:val="22"/>
                <w:szCs w:val="22"/>
              </w:rPr>
              <w:t>51862</w:t>
            </w:r>
          </w:p>
        </w:tc>
        <w:tc>
          <w:tcPr>
            <w:tcW w:w="1086" w:type="dxa"/>
            <w:gridSpan w:val="2"/>
            <w:vAlign w:val="center"/>
          </w:tcPr>
          <w:p w14:paraId="3767C18C" w14:textId="77777777" w:rsidR="00BD14CC" w:rsidRPr="003454B4" w:rsidRDefault="00BD14CC" w:rsidP="008525D9">
            <w:pPr>
              <w:spacing w:before="80" w:after="80" w:line="240" w:lineRule="auto"/>
              <w:rPr>
                <w:sz w:val="22"/>
                <w:szCs w:val="22"/>
              </w:rPr>
            </w:pPr>
            <w:r w:rsidRPr="003454B4">
              <w:rPr>
                <w:sz w:val="22"/>
                <w:szCs w:val="22"/>
              </w:rPr>
              <w:t>242987</w:t>
            </w:r>
          </w:p>
        </w:tc>
        <w:tc>
          <w:tcPr>
            <w:tcW w:w="1032" w:type="dxa"/>
            <w:vAlign w:val="center"/>
          </w:tcPr>
          <w:p w14:paraId="2278E783" w14:textId="77777777" w:rsidR="00BD14CC" w:rsidRPr="003454B4" w:rsidRDefault="00BD14CC" w:rsidP="008525D9">
            <w:pPr>
              <w:spacing w:before="80" w:after="80" w:line="240" w:lineRule="auto"/>
              <w:rPr>
                <w:sz w:val="22"/>
                <w:szCs w:val="22"/>
              </w:rPr>
            </w:pPr>
            <w:r w:rsidRPr="003454B4">
              <w:rPr>
                <w:sz w:val="22"/>
                <w:szCs w:val="22"/>
              </w:rPr>
              <w:t>39/1</w:t>
            </w:r>
          </w:p>
        </w:tc>
        <w:tc>
          <w:tcPr>
            <w:tcW w:w="1037" w:type="dxa"/>
            <w:vAlign w:val="center"/>
          </w:tcPr>
          <w:p w14:paraId="1356434A" w14:textId="77777777" w:rsidR="00BD14CC" w:rsidRPr="003454B4" w:rsidRDefault="00BD14CC" w:rsidP="008525D9">
            <w:pPr>
              <w:spacing w:before="80" w:after="80" w:line="240" w:lineRule="auto"/>
              <w:rPr>
                <w:sz w:val="22"/>
                <w:szCs w:val="22"/>
              </w:rPr>
            </w:pPr>
            <w:r w:rsidRPr="003454B4">
              <w:rPr>
                <w:sz w:val="22"/>
                <w:szCs w:val="22"/>
              </w:rPr>
              <w:t>59/1</w:t>
            </w:r>
          </w:p>
        </w:tc>
      </w:tr>
      <w:tr w:rsidR="00BD14CC" w:rsidRPr="003454B4" w14:paraId="15488562" w14:textId="77777777" w:rsidTr="008525D9">
        <w:trPr>
          <w:trHeight w:val="148"/>
        </w:trPr>
        <w:tc>
          <w:tcPr>
            <w:tcW w:w="1008" w:type="dxa"/>
            <w:vAlign w:val="center"/>
          </w:tcPr>
          <w:p w14:paraId="595C3085" w14:textId="77777777" w:rsidR="00BD14CC" w:rsidRPr="003454B4" w:rsidRDefault="00BD14CC" w:rsidP="008525D9">
            <w:pPr>
              <w:spacing w:before="80" w:after="80" w:line="240" w:lineRule="auto"/>
              <w:rPr>
                <w:sz w:val="22"/>
                <w:szCs w:val="22"/>
              </w:rPr>
            </w:pPr>
            <w:r w:rsidRPr="003454B4">
              <w:rPr>
                <w:sz w:val="22"/>
                <w:szCs w:val="22"/>
              </w:rPr>
              <w:t>Liver</w:t>
            </w:r>
          </w:p>
        </w:tc>
        <w:tc>
          <w:tcPr>
            <w:tcW w:w="990" w:type="dxa"/>
            <w:vAlign w:val="center"/>
          </w:tcPr>
          <w:p w14:paraId="40BE3CA7" w14:textId="77777777" w:rsidR="00BD14CC" w:rsidRPr="003454B4" w:rsidRDefault="00BD14CC" w:rsidP="008525D9">
            <w:pPr>
              <w:spacing w:before="80" w:after="80" w:line="240" w:lineRule="auto"/>
              <w:rPr>
                <w:sz w:val="22"/>
                <w:szCs w:val="22"/>
              </w:rPr>
            </w:pPr>
            <w:r w:rsidRPr="003454B4">
              <w:rPr>
                <w:sz w:val="22"/>
                <w:szCs w:val="22"/>
              </w:rPr>
              <w:t>9860</w:t>
            </w:r>
          </w:p>
        </w:tc>
        <w:tc>
          <w:tcPr>
            <w:tcW w:w="1080" w:type="dxa"/>
            <w:vAlign w:val="center"/>
          </w:tcPr>
          <w:p w14:paraId="5D29A071" w14:textId="77777777" w:rsidR="00BD14CC" w:rsidRPr="003454B4" w:rsidRDefault="00BD14CC" w:rsidP="008525D9">
            <w:pPr>
              <w:spacing w:before="80" w:after="80" w:line="240" w:lineRule="auto"/>
              <w:rPr>
                <w:sz w:val="22"/>
                <w:szCs w:val="22"/>
              </w:rPr>
            </w:pPr>
            <w:r w:rsidRPr="003454B4">
              <w:rPr>
                <w:sz w:val="22"/>
                <w:szCs w:val="22"/>
              </w:rPr>
              <w:t>25500</w:t>
            </w:r>
          </w:p>
        </w:tc>
        <w:tc>
          <w:tcPr>
            <w:tcW w:w="990" w:type="dxa"/>
            <w:vAlign w:val="center"/>
          </w:tcPr>
          <w:p w14:paraId="20FCFDB9" w14:textId="77777777" w:rsidR="00BD14CC" w:rsidRPr="003454B4" w:rsidRDefault="00BD14CC" w:rsidP="008525D9">
            <w:pPr>
              <w:spacing w:before="80" w:after="80" w:line="240" w:lineRule="auto"/>
              <w:rPr>
                <w:sz w:val="22"/>
                <w:szCs w:val="22"/>
              </w:rPr>
            </w:pPr>
            <w:r w:rsidRPr="003454B4">
              <w:rPr>
                <w:sz w:val="22"/>
                <w:szCs w:val="22"/>
              </w:rPr>
              <w:t>0.25</w:t>
            </w:r>
          </w:p>
        </w:tc>
        <w:tc>
          <w:tcPr>
            <w:tcW w:w="990" w:type="dxa"/>
            <w:vAlign w:val="center"/>
          </w:tcPr>
          <w:p w14:paraId="249E608D" w14:textId="77777777" w:rsidR="00BD14CC" w:rsidRPr="003454B4" w:rsidRDefault="00BD14CC" w:rsidP="008525D9">
            <w:pPr>
              <w:spacing w:before="80" w:after="80" w:line="240" w:lineRule="auto"/>
              <w:rPr>
                <w:sz w:val="22"/>
                <w:szCs w:val="22"/>
              </w:rPr>
            </w:pPr>
            <w:r w:rsidRPr="003454B4">
              <w:rPr>
                <w:sz w:val="22"/>
                <w:szCs w:val="22"/>
              </w:rPr>
              <w:t>0.5</w:t>
            </w:r>
          </w:p>
        </w:tc>
        <w:tc>
          <w:tcPr>
            <w:tcW w:w="1080" w:type="dxa"/>
            <w:vAlign w:val="center"/>
          </w:tcPr>
          <w:p w14:paraId="6AEAB97E" w14:textId="77777777" w:rsidR="00BD14CC" w:rsidRPr="003454B4" w:rsidRDefault="00BD14CC" w:rsidP="008525D9">
            <w:pPr>
              <w:spacing w:before="80" w:after="80" w:line="240" w:lineRule="auto"/>
              <w:rPr>
                <w:sz w:val="22"/>
                <w:szCs w:val="22"/>
              </w:rPr>
            </w:pPr>
            <w:r w:rsidRPr="003454B4">
              <w:rPr>
                <w:sz w:val="22"/>
                <w:szCs w:val="22"/>
              </w:rPr>
              <w:t>33459</w:t>
            </w:r>
          </w:p>
        </w:tc>
        <w:tc>
          <w:tcPr>
            <w:tcW w:w="1086" w:type="dxa"/>
            <w:gridSpan w:val="2"/>
            <w:vAlign w:val="center"/>
          </w:tcPr>
          <w:p w14:paraId="49DB006C" w14:textId="77777777" w:rsidR="00BD14CC" w:rsidRPr="003454B4" w:rsidRDefault="00BD14CC" w:rsidP="008525D9">
            <w:pPr>
              <w:spacing w:before="80" w:after="80" w:line="240" w:lineRule="auto"/>
              <w:rPr>
                <w:sz w:val="22"/>
                <w:szCs w:val="22"/>
              </w:rPr>
            </w:pPr>
            <w:r w:rsidRPr="003454B4">
              <w:rPr>
                <w:sz w:val="22"/>
                <w:szCs w:val="22"/>
              </w:rPr>
              <w:t>137765</w:t>
            </w:r>
          </w:p>
        </w:tc>
        <w:tc>
          <w:tcPr>
            <w:tcW w:w="1032" w:type="dxa"/>
            <w:vAlign w:val="center"/>
          </w:tcPr>
          <w:p w14:paraId="71AC0D91" w14:textId="77777777" w:rsidR="00BD14CC" w:rsidRPr="003454B4" w:rsidRDefault="00BD14CC" w:rsidP="008525D9">
            <w:pPr>
              <w:spacing w:before="80" w:after="80" w:line="240" w:lineRule="auto"/>
              <w:rPr>
                <w:sz w:val="22"/>
                <w:szCs w:val="22"/>
              </w:rPr>
            </w:pPr>
            <w:r w:rsidRPr="003454B4">
              <w:rPr>
                <w:sz w:val="22"/>
                <w:szCs w:val="22"/>
              </w:rPr>
              <w:t>25/1</w:t>
            </w:r>
          </w:p>
        </w:tc>
        <w:tc>
          <w:tcPr>
            <w:tcW w:w="1037" w:type="dxa"/>
            <w:vAlign w:val="center"/>
          </w:tcPr>
          <w:p w14:paraId="709167D0" w14:textId="77777777" w:rsidR="00BD14CC" w:rsidRPr="003454B4" w:rsidRDefault="00BD14CC" w:rsidP="008525D9">
            <w:pPr>
              <w:spacing w:before="80" w:after="80" w:line="240" w:lineRule="auto"/>
              <w:rPr>
                <w:sz w:val="22"/>
                <w:szCs w:val="22"/>
              </w:rPr>
            </w:pPr>
            <w:r w:rsidRPr="003454B4">
              <w:rPr>
                <w:sz w:val="22"/>
                <w:szCs w:val="22"/>
              </w:rPr>
              <w:t>34/1</w:t>
            </w:r>
          </w:p>
        </w:tc>
      </w:tr>
      <w:tr w:rsidR="00BD14CC" w:rsidRPr="003454B4" w14:paraId="2A7EBA2C" w14:textId="77777777" w:rsidTr="008525D9">
        <w:trPr>
          <w:trHeight w:val="148"/>
        </w:trPr>
        <w:tc>
          <w:tcPr>
            <w:tcW w:w="1008" w:type="dxa"/>
            <w:vAlign w:val="center"/>
          </w:tcPr>
          <w:p w14:paraId="1A31CCF5" w14:textId="77777777" w:rsidR="00BD14CC" w:rsidRPr="003454B4" w:rsidRDefault="00BD14CC" w:rsidP="008525D9">
            <w:pPr>
              <w:spacing w:before="80" w:after="80" w:line="240" w:lineRule="auto"/>
              <w:rPr>
                <w:sz w:val="22"/>
                <w:szCs w:val="22"/>
              </w:rPr>
            </w:pPr>
            <w:r w:rsidRPr="003454B4">
              <w:rPr>
                <w:sz w:val="22"/>
                <w:szCs w:val="22"/>
              </w:rPr>
              <w:t>Kidney</w:t>
            </w:r>
          </w:p>
        </w:tc>
        <w:tc>
          <w:tcPr>
            <w:tcW w:w="990" w:type="dxa"/>
            <w:vAlign w:val="center"/>
          </w:tcPr>
          <w:p w14:paraId="03908A01" w14:textId="77777777" w:rsidR="00BD14CC" w:rsidRPr="003454B4" w:rsidRDefault="00BD14CC" w:rsidP="008525D9">
            <w:pPr>
              <w:spacing w:before="80" w:after="80" w:line="240" w:lineRule="auto"/>
              <w:rPr>
                <w:sz w:val="22"/>
                <w:szCs w:val="22"/>
              </w:rPr>
            </w:pPr>
            <w:r w:rsidRPr="003454B4">
              <w:rPr>
                <w:sz w:val="22"/>
                <w:szCs w:val="22"/>
              </w:rPr>
              <w:t>3810</w:t>
            </w:r>
          </w:p>
        </w:tc>
        <w:tc>
          <w:tcPr>
            <w:tcW w:w="1080" w:type="dxa"/>
            <w:vAlign w:val="center"/>
          </w:tcPr>
          <w:p w14:paraId="5B0B0847" w14:textId="77777777" w:rsidR="00BD14CC" w:rsidRPr="003454B4" w:rsidRDefault="00BD14CC" w:rsidP="008525D9">
            <w:pPr>
              <w:spacing w:before="80" w:after="80" w:line="240" w:lineRule="auto"/>
              <w:rPr>
                <w:sz w:val="22"/>
                <w:szCs w:val="22"/>
              </w:rPr>
            </w:pPr>
            <w:r w:rsidRPr="003454B4">
              <w:rPr>
                <w:sz w:val="22"/>
                <w:szCs w:val="22"/>
              </w:rPr>
              <w:t>5620</w:t>
            </w:r>
          </w:p>
        </w:tc>
        <w:tc>
          <w:tcPr>
            <w:tcW w:w="990" w:type="dxa"/>
            <w:vAlign w:val="center"/>
          </w:tcPr>
          <w:p w14:paraId="5149634F" w14:textId="77777777" w:rsidR="00BD14CC" w:rsidRPr="003454B4" w:rsidRDefault="00BD14CC" w:rsidP="008525D9">
            <w:pPr>
              <w:spacing w:before="80" w:after="80" w:line="240" w:lineRule="auto"/>
              <w:rPr>
                <w:sz w:val="22"/>
                <w:szCs w:val="22"/>
              </w:rPr>
            </w:pPr>
            <w:r w:rsidRPr="003454B4">
              <w:rPr>
                <w:sz w:val="22"/>
                <w:szCs w:val="22"/>
              </w:rPr>
              <w:t>1.0</w:t>
            </w:r>
          </w:p>
        </w:tc>
        <w:tc>
          <w:tcPr>
            <w:tcW w:w="990" w:type="dxa"/>
            <w:vAlign w:val="center"/>
          </w:tcPr>
          <w:p w14:paraId="0773AD89"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7BD52075" w14:textId="77777777" w:rsidR="00BD14CC" w:rsidRPr="003454B4" w:rsidRDefault="00BD14CC" w:rsidP="008525D9">
            <w:pPr>
              <w:spacing w:before="80" w:after="80" w:line="240" w:lineRule="auto"/>
              <w:rPr>
                <w:sz w:val="22"/>
                <w:szCs w:val="22"/>
              </w:rPr>
            </w:pPr>
            <w:r w:rsidRPr="003454B4">
              <w:rPr>
                <w:sz w:val="22"/>
                <w:szCs w:val="22"/>
              </w:rPr>
              <w:t>11979</w:t>
            </w:r>
          </w:p>
        </w:tc>
        <w:tc>
          <w:tcPr>
            <w:tcW w:w="1086" w:type="dxa"/>
            <w:gridSpan w:val="2"/>
            <w:vAlign w:val="center"/>
          </w:tcPr>
          <w:p w14:paraId="3A4B117B" w14:textId="77777777" w:rsidR="00BD14CC" w:rsidRPr="003454B4" w:rsidRDefault="00BD14CC" w:rsidP="008525D9">
            <w:pPr>
              <w:spacing w:before="80" w:after="80" w:line="240" w:lineRule="auto"/>
              <w:rPr>
                <w:sz w:val="22"/>
                <w:szCs w:val="22"/>
              </w:rPr>
            </w:pPr>
            <w:r w:rsidRPr="003454B4">
              <w:rPr>
                <w:sz w:val="22"/>
                <w:szCs w:val="22"/>
              </w:rPr>
              <w:t>55126</w:t>
            </w:r>
          </w:p>
        </w:tc>
        <w:tc>
          <w:tcPr>
            <w:tcW w:w="1032" w:type="dxa"/>
            <w:vAlign w:val="center"/>
          </w:tcPr>
          <w:p w14:paraId="6CEA6197" w14:textId="77777777" w:rsidR="00BD14CC" w:rsidRPr="003454B4" w:rsidRDefault="00BD14CC" w:rsidP="008525D9">
            <w:pPr>
              <w:spacing w:before="80" w:after="80" w:line="240" w:lineRule="auto"/>
              <w:rPr>
                <w:sz w:val="22"/>
                <w:szCs w:val="22"/>
              </w:rPr>
            </w:pPr>
            <w:r w:rsidRPr="003454B4">
              <w:rPr>
                <w:sz w:val="22"/>
                <w:szCs w:val="22"/>
              </w:rPr>
              <w:t>9/1</w:t>
            </w:r>
          </w:p>
        </w:tc>
        <w:tc>
          <w:tcPr>
            <w:tcW w:w="1037" w:type="dxa"/>
            <w:vAlign w:val="center"/>
          </w:tcPr>
          <w:p w14:paraId="76AEC9C0" w14:textId="77777777" w:rsidR="00BD14CC" w:rsidRPr="003454B4" w:rsidRDefault="00BD14CC" w:rsidP="008525D9">
            <w:pPr>
              <w:spacing w:before="80" w:after="80" w:line="240" w:lineRule="auto"/>
              <w:rPr>
                <w:sz w:val="22"/>
                <w:szCs w:val="22"/>
              </w:rPr>
            </w:pPr>
            <w:r w:rsidRPr="003454B4">
              <w:rPr>
                <w:sz w:val="22"/>
                <w:szCs w:val="22"/>
              </w:rPr>
              <w:t>13/1</w:t>
            </w:r>
          </w:p>
        </w:tc>
      </w:tr>
      <w:tr w:rsidR="00BD14CC" w:rsidRPr="003454B4" w14:paraId="769C4F9A" w14:textId="77777777" w:rsidTr="008525D9">
        <w:trPr>
          <w:trHeight w:val="148"/>
        </w:trPr>
        <w:tc>
          <w:tcPr>
            <w:tcW w:w="1008" w:type="dxa"/>
            <w:vAlign w:val="center"/>
          </w:tcPr>
          <w:p w14:paraId="5AB8E15B" w14:textId="77777777" w:rsidR="00BD14CC" w:rsidRPr="003454B4" w:rsidRDefault="00BD14CC" w:rsidP="008525D9">
            <w:pPr>
              <w:spacing w:before="80" w:after="80" w:line="240" w:lineRule="auto"/>
              <w:rPr>
                <w:sz w:val="22"/>
                <w:szCs w:val="22"/>
              </w:rPr>
            </w:pPr>
            <w:r w:rsidRPr="003454B4">
              <w:rPr>
                <w:sz w:val="22"/>
                <w:szCs w:val="22"/>
              </w:rPr>
              <w:t>Brain</w:t>
            </w:r>
          </w:p>
        </w:tc>
        <w:tc>
          <w:tcPr>
            <w:tcW w:w="990" w:type="dxa"/>
            <w:vAlign w:val="center"/>
          </w:tcPr>
          <w:p w14:paraId="01AA42D1" w14:textId="77777777" w:rsidR="00BD14CC" w:rsidRPr="003454B4" w:rsidRDefault="00BD14CC" w:rsidP="008525D9">
            <w:pPr>
              <w:spacing w:before="80" w:after="80" w:line="240" w:lineRule="auto"/>
              <w:rPr>
                <w:sz w:val="22"/>
                <w:szCs w:val="22"/>
              </w:rPr>
            </w:pPr>
            <w:r w:rsidRPr="003454B4">
              <w:rPr>
                <w:sz w:val="22"/>
                <w:szCs w:val="22"/>
              </w:rPr>
              <w:t>4343</w:t>
            </w:r>
          </w:p>
        </w:tc>
        <w:tc>
          <w:tcPr>
            <w:tcW w:w="1080" w:type="dxa"/>
            <w:vAlign w:val="center"/>
          </w:tcPr>
          <w:p w14:paraId="7BD20ED5" w14:textId="77777777" w:rsidR="00BD14CC" w:rsidRPr="003454B4" w:rsidRDefault="00BD14CC" w:rsidP="008525D9">
            <w:pPr>
              <w:spacing w:before="80" w:after="80" w:line="240" w:lineRule="auto"/>
              <w:rPr>
                <w:sz w:val="22"/>
                <w:szCs w:val="22"/>
              </w:rPr>
            </w:pPr>
            <w:r w:rsidRPr="003454B4">
              <w:rPr>
                <w:sz w:val="22"/>
                <w:szCs w:val="22"/>
              </w:rPr>
              <w:t>6597</w:t>
            </w:r>
          </w:p>
        </w:tc>
        <w:tc>
          <w:tcPr>
            <w:tcW w:w="990" w:type="dxa"/>
            <w:vAlign w:val="center"/>
          </w:tcPr>
          <w:p w14:paraId="44900973" w14:textId="77777777" w:rsidR="00BD14CC" w:rsidRPr="003454B4" w:rsidRDefault="00BD14CC" w:rsidP="008525D9">
            <w:pPr>
              <w:spacing w:before="80" w:after="80" w:line="240" w:lineRule="auto"/>
              <w:rPr>
                <w:sz w:val="22"/>
                <w:szCs w:val="22"/>
              </w:rPr>
            </w:pPr>
            <w:r w:rsidRPr="003454B4">
              <w:rPr>
                <w:sz w:val="22"/>
                <w:szCs w:val="22"/>
              </w:rPr>
              <w:t>1.0</w:t>
            </w:r>
          </w:p>
        </w:tc>
        <w:tc>
          <w:tcPr>
            <w:tcW w:w="990" w:type="dxa"/>
            <w:vAlign w:val="center"/>
          </w:tcPr>
          <w:p w14:paraId="64C760C2"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4FD7E677" w14:textId="77777777" w:rsidR="00BD14CC" w:rsidRPr="003454B4" w:rsidRDefault="00BD14CC" w:rsidP="008525D9">
            <w:pPr>
              <w:spacing w:before="80" w:after="80" w:line="240" w:lineRule="auto"/>
              <w:rPr>
                <w:sz w:val="22"/>
                <w:szCs w:val="22"/>
              </w:rPr>
            </w:pPr>
            <w:r w:rsidRPr="003454B4">
              <w:rPr>
                <w:sz w:val="22"/>
                <w:szCs w:val="22"/>
              </w:rPr>
              <w:t>19167</w:t>
            </w:r>
          </w:p>
        </w:tc>
        <w:tc>
          <w:tcPr>
            <w:tcW w:w="1086" w:type="dxa"/>
            <w:gridSpan w:val="2"/>
            <w:vAlign w:val="center"/>
          </w:tcPr>
          <w:p w14:paraId="28B143F7" w14:textId="77777777" w:rsidR="00BD14CC" w:rsidRPr="003454B4" w:rsidRDefault="00BD14CC" w:rsidP="008525D9">
            <w:pPr>
              <w:spacing w:before="80" w:after="80" w:line="240" w:lineRule="auto"/>
              <w:rPr>
                <w:sz w:val="22"/>
                <w:szCs w:val="22"/>
              </w:rPr>
            </w:pPr>
            <w:r w:rsidRPr="003454B4">
              <w:rPr>
                <w:sz w:val="22"/>
                <w:szCs w:val="22"/>
              </w:rPr>
              <w:t>71456</w:t>
            </w:r>
          </w:p>
        </w:tc>
        <w:tc>
          <w:tcPr>
            <w:tcW w:w="1032" w:type="dxa"/>
            <w:vAlign w:val="center"/>
          </w:tcPr>
          <w:p w14:paraId="33892150" w14:textId="77777777" w:rsidR="00BD14CC" w:rsidRPr="003454B4" w:rsidRDefault="00BD14CC" w:rsidP="008525D9">
            <w:pPr>
              <w:spacing w:before="80" w:after="80" w:line="240" w:lineRule="auto"/>
              <w:rPr>
                <w:sz w:val="22"/>
                <w:szCs w:val="22"/>
              </w:rPr>
            </w:pPr>
            <w:r w:rsidRPr="003454B4">
              <w:rPr>
                <w:sz w:val="22"/>
                <w:szCs w:val="22"/>
              </w:rPr>
              <w:t>14/1</w:t>
            </w:r>
          </w:p>
        </w:tc>
        <w:tc>
          <w:tcPr>
            <w:tcW w:w="1037" w:type="dxa"/>
            <w:vAlign w:val="center"/>
          </w:tcPr>
          <w:p w14:paraId="2ECFD7F3" w14:textId="77777777" w:rsidR="00BD14CC" w:rsidRPr="003454B4" w:rsidRDefault="00BD14CC" w:rsidP="008525D9">
            <w:pPr>
              <w:spacing w:before="80" w:after="80" w:line="240" w:lineRule="auto"/>
              <w:rPr>
                <w:sz w:val="22"/>
                <w:szCs w:val="22"/>
              </w:rPr>
            </w:pPr>
            <w:r w:rsidRPr="003454B4">
              <w:rPr>
                <w:sz w:val="22"/>
                <w:szCs w:val="22"/>
              </w:rPr>
              <w:t>17/1</w:t>
            </w:r>
          </w:p>
        </w:tc>
      </w:tr>
      <w:tr w:rsidR="00BD14CC" w:rsidRPr="003454B4" w14:paraId="0B1DF8A7" w14:textId="77777777" w:rsidTr="008525D9">
        <w:trPr>
          <w:trHeight w:val="277"/>
        </w:trPr>
        <w:tc>
          <w:tcPr>
            <w:tcW w:w="1008" w:type="dxa"/>
            <w:vAlign w:val="center"/>
          </w:tcPr>
          <w:p w14:paraId="65A6CE57" w14:textId="77777777" w:rsidR="00BD14CC" w:rsidRPr="003454B4" w:rsidRDefault="00BD14CC" w:rsidP="008525D9">
            <w:pPr>
              <w:spacing w:before="80" w:after="80" w:line="240" w:lineRule="auto"/>
              <w:rPr>
                <w:sz w:val="22"/>
                <w:szCs w:val="22"/>
              </w:rPr>
            </w:pPr>
            <w:r w:rsidRPr="003454B4">
              <w:rPr>
                <w:sz w:val="22"/>
                <w:szCs w:val="22"/>
              </w:rPr>
              <w:t>Lymph node</w:t>
            </w:r>
          </w:p>
        </w:tc>
        <w:tc>
          <w:tcPr>
            <w:tcW w:w="990" w:type="dxa"/>
            <w:vAlign w:val="center"/>
          </w:tcPr>
          <w:p w14:paraId="4B46C223" w14:textId="77777777" w:rsidR="00BD14CC" w:rsidRPr="003454B4" w:rsidRDefault="00BD14CC" w:rsidP="008525D9">
            <w:pPr>
              <w:spacing w:before="80" w:after="80" w:line="240" w:lineRule="auto"/>
              <w:rPr>
                <w:sz w:val="22"/>
                <w:szCs w:val="22"/>
              </w:rPr>
            </w:pPr>
            <w:r w:rsidRPr="003454B4">
              <w:rPr>
                <w:sz w:val="22"/>
                <w:szCs w:val="22"/>
              </w:rPr>
              <w:t>1373</w:t>
            </w:r>
          </w:p>
        </w:tc>
        <w:tc>
          <w:tcPr>
            <w:tcW w:w="1080" w:type="dxa"/>
            <w:vAlign w:val="center"/>
          </w:tcPr>
          <w:p w14:paraId="74928D15" w14:textId="77777777" w:rsidR="00BD14CC" w:rsidRPr="003454B4" w:rsidRDefault="00BD14CC" w:rsidP="008525D9">
            <w:pPr>
              <w:spacing w:before="80" w:after="80" w:line="240" w:lineRule="auto"/>
              <w:rPr>
                <w:sz w:val="22"/>
                <w:szCs w:val="22"/>
              </w:rPr>
            </w:pPr>
            <w:r w:rsidRPr="003454B4">
              <w:rPr>
                <w:sz w:val="22"/>
                <w:szCs w:val="22"/>
              </w:rPr>
              <w:t>3867</w:t>
            </w:r>
          </w:p>
        </w:tc>
        <w:tc>
          <w:tcPr>
            <w:tcW w:w="990" w:type="dxa"/>
            <w:vAlign w:val="center"/>
          </w:tcPr>
          <w:p w14:paraId="353B4CB3" w14:textId="77777777" w:rsidR="00BD14CC" w:rsidRPr="003454B4" w:rsidRDefault="00BD14CC" w:rsidP="008525D9">
            <w:pPr>
              <w:spacing w:before="80" w:after="80" w:line="240" w:lineRule="auto"/>
              <w:rPr>
                <w:sz w:val="22"/>
                <w:szCs w:val="22"/>
              </w:rPr>
            </w:pPr>
            <w:r w:rsidRPr="003454B4">
              <w:rPr>
                <w:sz w:val="22"/>
                <w:szCs w:val="22"/>
              </w:rPr>
              <w:t>1.0</w:t>
            </w:r>
          </w:p>
        </w:tc>
        <w:tc>
          <w:tcPr>
            <w:tcW w:w="990" w:type="dxa"/>
            <w:vAlign w:val="center"/>
          </w:tcPr>
          <w:p w14:paraId="3EFA426C" w14:textId="77777777" w:rsidR="00BD14CC" w:rsidRPr="003454B4" w:rsidRDefault="00BD14CC" w:rsidP="008525D9">
            <w:pPr>
              <w:spacing w:before="80" w:after="80" w:line="240" w:lineRule="auto"/>
              <w:rPr>
                <w:sz w:val="22"/>
                <w:szCs w:val="22"/>
              </w:rPr>
            </w:pPr>
            <w:r w:rsidRPr="003454B4">
              <w:rPr>
                <w:sz w:val="22"/>
                <w:szCs w:val="22"/>
              </w:rPr>
              <w:t>8</w:t>
            </w:r>
          </w:p>
        </w:tc>
        <w:tc>
          <w:tcPr>
            <w:tcW w:w="1080" w:type="dxa"/>
            <w:vAlign w:val="center"/>
          </w:tcPr>
          <w:p w14:paraId="21D30972" w14:textId="77777777" w:rsidR="00BD14CC" w:rsidRPr="003454B4" w:rsidRDefault="00BD14CC" w:rsidP="008525D9">
            <w:pPr>
              <w:spacing w:before="80" w:after="80" w:line="240" w:lineRule="auto"/>
              <w:rPr>
                <w:sz w:val="22"/>
                <w:szCs w:val="22"/>
              </w:rPr>
            </w:pPr>
            <w:r w:rsidRPr="003454B4">
              <w:rPr>
                <w:sz w:val="22"/>
                <w:szCs w:val="22"/>
              </w:rPr>
              <w:t>5701</w:t>
            </w:r>
          </w:p>
        </w:tc>
        <w:tc>
          <w:tcPr>
            <w:tcW w:w="1086" w:type="dxa"/>
            <w:gridSpan w:val="2"/>
            <w:vAlign w:val="center"/>
          </w:tcPr>
          <w:p w14:paraId="381E1695" w14:textId="77777777" w:rsidR="00BD14CC" w:rsidRPr="003454B4" w:rsidRDefault="00BD14CC" w:rsidP="008525D9">
            <w:pPr>
              <w:spacing w:before="80" w:after="80" w:line="240" w:lineRule="auto"/>
              <w:rPr>
                <w:sz w:val="22"/>
                <w:szCs w:val="22"/>
              </w:rPr>
            </w:pPr>
            <w:r w:rsidRPr="003454B4">
              <w:rPr>
                <w:sz w:val="22"/>
                <w:szCs w:val="22"/>
              </w:rPr>
              <w:t>50476</w:t>
            </w:r>
          </w:p>
        </w:tc>
        <w:tc>
          <w:tcPr>
            <w:tcW w:w="1032" w:type="dxa"/>
            <w:vAlign w:val="center"/>
          </w:tcPr>
          <w:p w14:paraId="7555267F" w14:textId="77777777" w:rsidR="00BD14CC" w:rsidRPr="003454B4" w:rsidRDefault="00BD14CC" w:rsidP="008525D9">
            <w:pPr>
              <w:spacing w:before="80" w:after="80" w:line="240" w:lineRule="auto"/>
              <w:rPr>
                <w:sz w:val="22"/>
                <w:szCs w:val="22"/>
              </w:rPr>
            </w:pPr>
            <w:r w:rsidRPr="003454B4">
              <w:rPr>
                <w:sz w:val="22"/>
                <w:szCs w:val="22"/>
              </w:rPr>
              <w:t>4/1</w:t>
            </w:r>
          </w:p>
        </w:tc>
        <w:tc>
          <w:tcPr>
            <w:tcW w:w="1037" w:type="dxa"/>
            <w:vAlign w:val="center"/>
          </w:tcPr>
          <w:p w14:paraId="5EB2C434" w14:textId="77777777" w:rsidR="00BD14CC" w:rsidRPr="003454B4" w:rsidRDefault="00BD14CC" w:rsidP="008525D9">
            <w:pPr>
              <w:spacing w:before="80" w:after="80" w:line="240" w:lineRule="auto"/>
              <w:rPr>
                <w:sz w:val="22"/>
                <w:szCs w:val="22"/>
              </w:rPr>
            </w:pPr>
            <w:r w:rsidRPr="003454B4">
              <w:rPr>
                <w:sz w:val="22"/>
                <w:szCs w:val="22"/>
              </w:rPr>
              <w:t>12/1</w:t>
            </w:r>
          </w:p>
        </w:tc>
      </w:tr>
      <w:tr w:rsidR="00BD14CC" w:rsidRPr="003454B4" w14:paraId="4E3E4D76" w14:textId="77777777" w:rsidTr="008525D9">
        <w:trPr>
          <w:trHeight w:val="148"/>
        </w:trPr>
        <w:tc>
          <w:tcPr>
            <w:tcW w:w="1008" w:type="dxa"/>
            <w:vAlign w:val="center"/>
          </w:tcPr>
          <w:p w14:paraId="17D8D884" w14:textId="77777777" w:rsidR="00BD14CC" w:rsidRPr="003454B4" w:rsidRDefault="00BD14CC" w:rsidP="008525D9">
            <w:pPr>
              <w:spacing w:before="80" w:after="80" w:line="240" w:lineRule="auto"/>
              <w:rPr>
                <w:sz w:val="22"/>
                <w:szCs w:val="22"/>
              </w:rPr>
            </w:pPr>
            <w:r w:rsidRPr="003454B4">
              <w:rPr>
                <w:sz w:val="22"/>
                <w:szCs w:val="22"/>
              </w:rPr>
              <w:t>Heart</w:t>
            </w:r>
          </w:p>
        </w:tc>
        <w:tc>
          <w:tcPr>
            <w:tcW w:w="990" w:type="dxa"/>
            <w:vAlign w:val="center"/>
          </w:tcPr>
          <w:p w14:paraId="74F6FC1E" w14:textId="77777777" w:rsidR="00BD14CC" w:rsidRPr="003454B4" w:rsidRDefault="00BD14CC" w:rsidP="008525D9">
            <w:pPr>
              <w:spacing w:before="80" w:after="80" w:line="240" w:lineRule="auto"/>
              <w:rPr>
                <w:sz w:val="22"/>
                <w:szCs w:val="22"/>
              </w:rPr>
            </w:pPr>
            <w:r w:rsidRPr="003454B4">
              <w:rPr>
                <w:sz w:val="22"/>
                <w:szCs w:val="22"/>
              </w:rPr>
              <w:t>752</w:t>
            </w:r>
          </w:p>
        </w:tc>
        <w:tc>
          <w:tcPr>
            <w:tcW w:w="1080" w:type="dxa"/>
            <w:vAlign w:val="center"/>
          </w:tcPr>
          <w:p w14:paraId="423305A2" w14:textId="77777777" w:rsidR="00BD14CC" w:rsidRPr="003454B4" w:rsidRDefault="00BD14CC" w:rsidP="008525D9">
            <w:pPr>
              <w:spacing w:before="80" w:after="80" w:line="240" w:lineRule="auto"/>
              <w:rPr>
                <w:sz w:val="22"/>
                <w:szCs w:val="22"/>
              </w:rPr>
            </w:pPr>
            <w:r w:rsidRPr="003454B4">
              <w:rPr>
                <w:sz w:val="22"/>
                <w:szCs w:val="22"/>
              </w:rPr>
              <w:t>2800</w:t>
            </w:r>
          </w:p>
        </w:tc>
        <w:tc>
          <w:tcPr>
            <w:tcW w:w="990" w:type="dxa"/>
            <w:vAlign w:val="center"/>
          </w:tcPr>
          <w:p w14:paraId="3A6BDFB5" w14:textId="77777777" w:rsidR="00BD14CC" w:rsidRPr="003454B4" w:rsidRDefault="00BD14CC" w:rsidP="008525D9">
            <w:pPr>
              <w:spacing w:before="80" w:after="80" w:line="240" w:lineRule="auto"/>
              <w:rPr>
                <w:sz w:val="22"/>
                <w:szCs w:val="22"/>
              </w:rPr>
            </w:pPr>
            <w:r w:rsidRPr="003454B4">
              <w:rPr>
                <w:sz w:val="22"/>
                <w:szCs w:val="22"/>
              </w:rPr>
              <w:t>0.5</w:t>
            </w:r>
          </w:p>
        </w:tc>
        <w:tc>
          <w:tcPr>
            <w:tcW w:w="990" w:type="dxa"/>
            <w:vAlign w:val="center"/>
          </w:tcPr>
          <w:p w14:paraId="57720402"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4C10B816" w14:textId="77777777" w:rsidR="00BD14CC" w:rsidRPr="003454B4" w:rsidRDefault="00BD14CC" w:rsidP="008525D9">
            <w:pPr>
              <w:spacing w:before="80" w:after="80" w:line="240" w:lineRule="auto"/>
              <w:rPr>
                <w:sz w:val="22"/>
                <w:szCs w:val="22"/>
              </w:rPr>
            </w:pPr>
            <w:r w:rsidRPr="003454B4">
              <w:rPr>
                <w:sz w:val="22"/>
                <w:szCs w:val="22"/>
              </w:rPr>
              <w:t>2210</w:t>
            </w:r>
          </w:p>
        </w:tc>
        <w:tc>
          <w:tcPr>
            <w:tcW w:w="1086" w:type="dxa"/>
            <w:gridSpan w:val="2"/>
            <w:vAlign w:val="center"/>
          </w:tcPr>
          <w:p w14:paraId="38730B65" w14:textId="77777777" w:rsidR="00BD14CC" w:rsidRPr="003454B4" w:rsidRDefault="00BD14CC" w:rsidP="008525D9">
            <w:pPr>
              <w:spacing w:before="80" w:after="80" w:line="240" w:lineRule="auto"/>
              <w:rPr>
                <w:sz w:val="22"/>
                <w:szCs w:val="22"/>
              </w:rPr>
            </w:pPr>
            <w:r w:rsidRPr="003454B4">
              <w:rPr>
                <w:sz w:val="22"/>
                <w:szCs w:val="22"/>
              </w:rPr>
              <w:t>13099</w:t>
            </w:r>
          </w:p>
        </w:tc>
        <w:tc>
          <w:tcPr>
            <w:tcW w:w="1032" w:type="dxa"/>
            <w:vAlign w:val="center"/>
          </w:tcPr>
          <w:p w14:paraId="3088EEA5" w14:textId="77777777" w:rsidR="00BD14CC" w:rsidRPr="003454B4" w:rsidRDefault="00BD14CC" w:rsidP="008525D9">
            <w:pPr>
              <w:spacing w:before="80" w:after="80" w:line="240" w:lineRule="auto"/>
              <w:rPr>
                <w:sz w:val="22"/>
                <w:szCs w:val="22"/>
              </w:rPr>
            </w:pPr>
            <w:r w:rsidRPr="003454B4">
              <w:rPr>
                <w:sz w:val="22"/>
                <w:szCs w:val="22"/>
              </w:rPr>
              <w:t>2/1</w:t>
            </w:r>
          </w:p>
        </w:tc>
        <w:tc>
          <w:tcPr>
            <w:tcW w:w="1037" w:type="dxa"/>
            <w:vAlign w:val="center"/>
          </w:tcPr>
          <w:p w14:paraId="1037F853" w14:textId="77777777" w:rsidR="00BD14CC" w:rsidRPr="003454B4" w:rsidRDefault="00BD14CC" w:rsidP="008525D9">
            <w:pPr>
              <w:spacing w:before="80" w:after="80" w:line="240" w:lineRule="auto"/>
              <w:rPr>
                <w:sz w:val="22"/>
                <w:szCs w:val="22"/>
              </w:rPr>
            </w:pPr>
            <w:r w:rsidRPr="003454B4">
              <w:rPr>
                <w:sz w:val="22"/>
                <w:szCs w:val="22"/>
              </w:rPr>
              <w:t>3/1</w:t>
            </w:r>
          </w:p>
        </w:tc>
      </w:tr>
      <w:tr w:rsidR="00BD14CC" w:rsidRPr="003454B4" w14:paraId="77185255" w14:textId="77777777" w:rsidTr="008525D9">
        <w:trPr>
          <w:trHeight w:val="148"/>
        </w:trPr>
        <w:tc>
          <w:tcPr>
            <w:tcW w:w="1008" w:type="dxa"/>
            <w:vAlign w:val="center"/>
          </w:tcPr>
          <w:p w14:paraId="472E8261" w14:textId="77777777" w:rsidR="00BD14CC" w:rsidRPr="003454B4" w:rsidRDefault="00BD14CC" w:rsidP="008525D9">
            <w:pPr>
              <w:spacing w:before="80" w:after="80" w:line="240" w:lineRule="auto"/>
              <w:rPr>
                <w:sz w:val="22"/>
                <w:szCs w:val="22"/>
              </w:rPr>
            </w:pPr>
            <w:r w:rsidRPr="003454B4">
              <w:rPr>
                <w:sz w:val="22"/>
                <w:szCs w:val="22"/>
              </w:rPr>
              <w:t>Skin</w:t>
            </w:r>
          </w:p>
        </w:tc>
        <w:tc>
          <w:tcPr>
            <w:tcW w:w="990" w:type="dxa"/>
            <w:vAlign w:val="center"/>
          </w:tcPr>
          <w:p w14:paraId="5E4CAD43" w14:textId="77777777" w:rsidR="00BD14CC" w:rsidRPr="003454B4" w:rsidRDefault="00BD14CC" w:rsidP="008525D9">
            <w:pPr>
              <w:spacing w:before="80" w:after="80" w:line="240" w:lineRule="auto"/>
              <w:rPr>
                <w:sz w:val="22"/>
                <w:szCs w:val="22"/>
              </w:rPr>
            </w:pPr>
            <w:r w:rsidRPr="003454B4">
              <w:rPr>
                <w:sz w:val="22"/>
                <w:szCs w:val="22"/>
              </w:rPr>
              <w:t>1007</w:t>
            </w:r>
          </w:p>
        </w:tc>
        <w:tc>
          <w:tcPr>
            <w:tcW w:w="1080" w:type="dxa"/>
            <w:vAlign w:val="center"/>
          </w:tcPr>
          <w:p w14:paraId="3E9FBE01" w14:textId="77777777" w:rsidR="00BD14CC" w:rsidRPr="003454B4" w:rsidRDefault="00BD14CC" w:rsidP="008525D9">
            <w:pPr>
              <w:spacing w:before="80" w:after="80" w:line="240" w:lineRule="auto"/>
              <w:rPr>
                <w:sz w:val="22"/>
                <w:szCs w:val="22"/>
              </w:rPr>
            </w:pPr>
            <w:r w:rsidRPr="003454B4">
              <w:rPr>
                <w:sz w:val="22"/>
                <w:szCs w:val="22"/>
              </w:rPr>
              <w:t>1567</w:t>
            </w:r>
          </w:p>
        </w:tc>
        <w:tc>
          <w:tcPr>
            <w:tcW w:w="990" w:type="dxa"/>
            <w:vAlign w:val="center"/>
          </w:tcPr>
          <w:p w14:paraId="1148FDF7" w14:textId="77777777" w:rsidR="00BD14CC" w:rsidRPr="003454B4" w:rsidRDefault="00BD14CC" w:rsidP="008525D9">
            <w:pPr>
              <w:spacing w:before="80" w:after="80" w:line="240" w:lineRule="auto"/>
              <w:rPr>
                <w:sz w:val="22"/>
                <w:szCs w:val="22"/>
              </w:rPr>
            </w:pPr>
            <w:r w:rsidRPr="003454B4">
              <w:rPr>
                <w:sz w:val="22"/>
                <w:szCs w:val="22"/>
              </w:rPr>
              <w:t>2</w:t>
            </w:r>
          </w:p>
        </w:tc>
        <w:tc>
          <w:tcPr>
            <w:tcW w:w="990" w:type="dxa"/>
            <w:vAlign w:val="center"/>
          </w:tcPr>
          <w:p w14:paraId="384398CA" w14:textId="77777777" w:rsidR="00BD14CC" w:rsidRPr="003454B4" w:rsidRDefault="00BD14CC" w:rsidP="008525D9">
            <w:pPr>
              <w:spacing w:before="80" w:after="80" w:line="240" w:lineRule="auto"/>
              <w:rPr>
                <w:sz w:val="22"/>
                <w:szCs w:val="22"/>
              </w:rPr>
            </w:pPr>
            <w:r w:rsidRPr="003454B4">
              <w:rPr>
                <w:sz w:val="22"/>
                <w:szCs w:val="22"/>
              </w:rPr>
              <w:t>8</w:t>
            </w:r>
          </w:p>
        </w:tc>
        <w:tc>
          <w:tcPr>
            <w:tcW w:w="1080" w:type="dxa"/>
            <w:vAlign w:val="center"/>
          </w:tcPr>
          <w:p w14:paraId="14494FBB" w14:textId="77777777" w:rsidR="00BD14CC" w:rsidRPr="003454B4" w:rsidRDefault="00BD14CC" w:rsidP="008525D9">
            <w:pPr>
              <w:spacing w:before="80" w:after="80" w:line="240" w:lineRule="auto"/>
              <w:rPr>
                <w:sz w:val="22"/>
                <w:szCs w:val="22"/>
              </w:rPr>
            </w:pPr>
            <w:r w:rsidRPr="003454B4">
              <w:rPr>
                <w:sz w:val="22"/>
                <w:szCs w:val="22"/>
              </w:rPr>
              <w:t>5422</w:t>
            </w:r>
          </w:p>
        </w:tc>
        <w:tc>
          <w:tcPr>
            <w:tcW w:w="1086" w:type="dxa"/>
            <w:gridSpan w:val="2"/>
            <w:vAlign w:val="center"/>
          </w:tcPr>
          <w:p w14:paraId="5B84844F" w14:textId="77777777" w:rsidR="00BD14CC" w:rsidRPr="003454B4" w:rsidRDefault="00BD14CC" w:rsidP="008525D9">
            <w:pPr>
              <w:spacing w:before="80" w:after="80" w:line="240" w:lineRule="auto"/>
              <w:rPr>
                <w:sz w:val="22"/>
                <w:szCs w:val="22"/>
              </w:rPr>
            </w:pPr>
            <w:r w:rsidRPr="003454B4">
              <w:rPr>
                <w:sz w:val="22"/>
                <w:szCs w:val="22"/>
              </w:rPr>
              <w:t>19629</w:t>
            </w:r>
          </w:p>
        </w:tc>
        <w:tc>
          <w:tcPr>
            <w:tcW w:w="1032" w:type="dxa"/>
            <w:vAlign w:val="center"/>
          </w:tcPr>
          <w:p w14:paraId="05D4C091" w14:textId="77777777" w:rsidR="00BD14CC" w:rsidRPr="003454B4" w:rsidRDefault="00BD14CC" w:rsidP="008525D9">
            <w:pPr>
              <w:spacing w:before="80" w:after="80" w:line="240" w:lineRule="auto"/>
              <w:rPr>
                <w:sz w:val="22"/>
                <w:szCs w:val="22"/>
              </w:rPr>
            </w:pPr>
            <w:r w:rsidRPr="003454B4">
              <w:rPr>
                <w:sz w:val="22"/>
                <w:szCs w:val="22"/>
              </w:rPr>
              <w:t>4/1</w:t>
            </w:r>
          </w:p>
        </w:tc>
        <w:tc>
          <w:tcPr>
            <w:tcW w:w="1037" w:type="dxa"/>
            <w:vAlign w:val="center"/>
          </w:tcPr>
          <w:p w14:paraId="4DEC2370" w14:textId="77777777" w:rsidR="00BD14CC" w:rsidRPr="003454B4" w:rsidRDefault="00BD14CC" w:rsidP="008525D9">
            <w:pPr>
              <w:spacing w:before="80" w:after="80" w:line="240" w:lineRule="auto"/>
              <w:rPr>
                <w:sz w:val="22"/>
                <w:szCs w:val="22"/>
              </w:rPr>
            </w:pPr>
            <w:r w:rsidRPr="003454B4">
              <w:rPr>
                <w:sz w:val="22"/>
                <w:szCs w:val="22"/>
              </w:rPr>
              <w:t>5/1</w:t>
            </w:r>
          </w:p>
        </w:tc>
      </w:tr>
      <w:tr w:rsidR="00BD14CC" w:rsidRPr="003454B4" w14:paraId="4450FFF4" w14:textId="77777777" w:rsidTr="008525D9">
        <w:trPr>
          <w:trHeight w:val="148"/>
        </w:trPr>
        <w:tc>
          <w:tcPr>
            <w:tcW w:w="1008" w:type="dxa"/>
            <w:vAlign w:val="center"/>
          </w:tcPr>
          <w:p w14:paraId="7B1B6E20" w14:textId="77777777" w:rsidR="00BD14CC" w:rsidRPr="003454B4" w:rsidRDefault="00BD14CC" w:rsidP="008525D9">
            <w:pPr>
              <w:spacing w:before="80" w:after="80" w:line="240" w:lineRule="auto"/>
              <w:rPr>
                <w:sz w:val="22"/>
                <w:szCs w:val="22"/>
              </w:rPr>
            </w:pPr>
            <w:r w:rsidRPr="003454B4">
              <w:rPr>
                <w:sz w:val="22"/>
                <w:szCs w:val="22"/>
              </w:rPr>
              <w:t>Eye</w:t>
            </w:r>
          </w:p>
        </w:tc>
        <w:tc>
          <w:tcPr>
            <w:tcW w:w="990" w:type="dxa"/>
            <w:vAlign w:val="center"/>
          </w:tcPr>
          <w:p w14:paraId="665CCD84" w14:textId="77777777" w:rsidR="00BD14CC" w:rsidRPr="003454B4" w:rsidRDefault="00BD14CC" w:rsidP="008525D9">
            <w:pPr>
              <w:spacing w:before="80" w:after="80" w:line="240" w:lineRule="auto"/>
              <w:rPr>
                <w:sz w:val="22"/>
                <w:szCs w:val="22"/>
              </w:rPr>
            </w:pPr>
            <w:r w:rsidRPr="003454B4">
              <w:rPr>
                <w:sz w:val="22"/>
                <w:szCs w:val="22"/>
              </w:rPr>
              <w:t>239</w:t>
            </w:r>
          </w:p>
        </w:tc>
        <w:tc>
          <w:tcPr>
            <w:tcW w:w="1080" w:type="dxa"/>
            <w:vAlign w:val="center"/>
          </w:tcPr>
          <w:p w14:paraId="11451F97" w14:textId="77777777" w:rsidR="00BD14CC" w:rsidRPr="003454B4" w:rsidRDefault="00BD14CC" w:rsidP="008525D9">
            <w:pPr>
              <w:spacing w:before="80" w:after="80" w:line="240" w:lineRule="auto"/>
              <w:rPr>
                <w:sz w:val="22"/>
                <w:szCs w:val="22"/>
              </w:rPr>
            </w:pPr>
            <w:r w:rsidRPr="003454B4">
              <w:rPr>
                <w:sz w:val="22"/>
                <w:szCs w:val="22"/>
              </w:rPr>
              <w:t>961</w:t>
            </w:r>
          </w:p>
        </w:tc>
        <w:tc>
          <w:tcPr>
            <w:tcW w:w="990" w:type="dxa"/>
            <w:vAlign w:val="center"/>
          </w:tcPr>
          <w:p w14:paraId="23D9A725" w14:textId="77777777" w:rsidR="00BD14CC" w:rsidRPr="003454B4" w:rsidRDefault="00BD14CC" w:rsidP="008525D9">
            <w:pPr>
              <w:spacing w:before="80" w:after="80" w:line="240" w:lineRule="auto"/>
              <w:rPr>
                <w:sz w:val="22"/>
                <w:szCs w:val="22"/>
              </w:rPr>
            </w:pPr>
            <w:r w:rsidRPr="003454B4">
              <w:rPr>
                <w:sz w:val="22"/>
                <w:szCs w:val="22"/>
              </w:rPr>
              <w:t>2</w:t>
            </w:r>
          </w:p>
        </w:tc>
        <w:tc>
          <w:tcPr>
            <w:tcW w:w="990" w:type="dxa"/>
            <w:vAlign w:val="center"/>
          </w:tcPr>
          <w:p w14:paraId="6FEDEE43" w14:textId="77777777" w:rsidR="00BD14CC" w:rsidRPr="003454B4" w:rsidRDefault="00BD14CC" w:rsidP="008525D9">
            <w:pPr>
              <w:spacing w:before="80" w:after="80" w:line="240" w:lineRule="auto"/>
              <w:rPr>
                <w:sz w:val="22"/>
                <w:szCs w:val="22"/>
              </w:rPr>
            </w:pPr>
            <w:r w:rsidRPr="003454B4">
              <w:rPr>
                <w:sz w:val="22"/>
                <w:szCs w:val="22"/>
              </w:rPr>
              <w:t>6</w:t>
            </w:r>
          </w:p>
        </w:tc>
        <w:tc>
          <w:tcPr>
            <w:tcW w:w="1080" w:type="dxa"/>
            <w:vAlign w:val="center"/>
          </w:tcPr>
          <w:p w14:paraId="15DA668C" w14:textId="77777777" w:rsidR="00BD14CC" w:rsidRPr="003454B4" w:rsidRDefault="00BD14CC" w:rsidP="008525D9">
            <w:pPr>
              <w:spacing w:before="80" w:after="80" w:line="240" w:lineRule="auto"/>
              <w:rPr>
                <w:sz w:val="22"/>
                <w:szCs w:val="22"/>
              </w:rPr>
            </w:pPr>
            <w:r w:rsidRPr="003454B4">
              <w:rPr>
                <w:sz w:val="22"/>
                <w:szCs w:val="22"/>
              </w:rPr>
              <w:t>1323</w:t>
            </w:r>
          </w:p>
        </w:tc>
        <w:tc>
          <w:tcPr>
            <w:tcW w:w="1086" w:type="dxa"/>
            <w:gridSpan w:val="2"/>
            <w:vAlign w:val="center"/>
          </w:tcPr>
          <w:p w14:paraId="769CB30A" w14:textId="77777777" w:rsidR="00BD14CC" w:rsidRPr="003454B4" w:rsidRDefault="00BD14CC" w:rsidP="008525D9">
            <w:pPr>
              <w:spacing w:before="80" w:after="80" w:line="240" w:lineRule="auto"/>
              <w:rPr>
                <w:sz w:val="22"/>
                <w:szCs w:val="22"/>
              </w:rPr>
            </w:pPr>
            <w:r w:rsidRPr="003454B4">
              <w:rPr>
                <w:sz w:val="22"/>
                <w:szCs w:val="22"/>
              </w:rPr>
              <w:t>10370</w:t>
            </w:r>
          </w:p>
        </w:tc>
        <w:tc>
          <w:tcPr>
            <w:tcW w:w="1032" w:type="dxa"/>
            <w:vAlign w:val="center"/>
          </w:tcPr>
          <w:p w14:paraId="748D90F3" w14:textId="77777777" w:rsidR="00BD14CC" w:rsidRPr="003454B4" w:rsidRDefault="00BD14CC" w:rsidP="008525D9">
            <w:pPr>
              <w:spacing w:before="80" w:after="80" w:line="240" w:lineRule="auto"/>
              <w:rPr>
                <w:sz w:val="22"/>
                <w:szCs w:val="22"/>
              </w:rPr>
            </w:pPr>
            <w:r w:rsidRPr="003454B4">
              <w:rPr>
                <w:sz w:val="22"/>
                <w:szCs w:val="22"/>
              </w:rPr>
              <w:t>1/1</w:t>
            </w:r>
          </w:p>
        </w:tc>
        <w:tc>
          <w:tcPr>
            <w:tcW w:w="1037" w:type="dxa"/>
            <w:vAlign w:val="center"/>
          </w:tcPr>
          <w:p w14:paraId="75FEA01A" w14:textId="77777777" w:rsidR="00BD14CC" w:rsidRPr="003454B4" w:rsidRDefault="00BD14CC" w:rsidP="008525D9">
            <w:pPr>
              <w:spacing w:before="80" w:after="80" w:line="240" w:lineRule="auto"/>
              <w:rPr>
                <w:sz w:val="22"/>
                <w:szCs w:val="22"/>
              </w:rPr>
            </w:pPr>
            <w:r w:rsidRPr="003454B4">
              <w:rPr>
                <w:sz w:val="22"/>
                <w:szCs w:val="22"/>
              </w:rPr>
              <w:t>3/1</w:t>
            </w:r>
          </w:p>
        </w:tc>
      </w:tr>
    </w:tbl>
    <w:p w14:paraId="72780CE1" w14:textId="77777777" w:rsidR="00BD14CC" w:rsidRDefault="00BD14CC" w:rsidP="00BD14CC">
      <w:pPr>
        <w:pStyle w:val="Default"/>
        <w:rPr>
          <w:sz w:val="20"/>
          <w:szCs w:val="20"/>
        </w:rPr>
      </w:pPr>
      <w:r>
        <w:rPr>
          <w:sz w:val="20"/>
          <w:szCs w:val="20"/>
        </w:rPr>
        <w:t xml:space="preserve">Abbreviations: AUC, area under the curve; </w:t>
      </w:r>
      <w:proofErr w:type="spellStart"/>
      <w:r>
        <w:rPr>
          <w:sz w:val="20"/>
          <w:szCs w:val="20"/>
        </w:rPr>
        <w:t>C</w:t>
      </w:r>
      <w:r>
        <w:rPr>
          <w:sz w:val="13"/>
          <w:szCs w:val="13"/>
        </w:rPr>
        <w:t>max</w:t>
      </w:r>
      <w:proofErr w:type="spellEnd"/>
      <w:r>
        <w:rPr>
          <w:sz w:val="20"/>
          <w:szCs w:val="20"/>
        </w:rPr>
        <w:t>, peak (or maximum) concentration; T</w:t>
      </w:r>
      <w:r>
        <w:rPr>
          <w:sz w:val="13"/>
          <w:szCs w:val="13"/>
        </w:rPr>
        <w:t>max</w:t>
      </w:r>
      <w:r>
        <w:rPr>
          <w:sz w:val="20"/>
          <w:szCs w:val="20"/>
        </w:rPr>
        <w:t xml:space="preserve">, time to reach maximum concentration. </w:t>
      </w:r>
    </w:p>
    <w:p w14:paraId="0292FA65" w14:textId="77777777" w:rsidR="00BD14CC" w:rsidRPr="00EF3DB3" w:rsidRDefault="00BD14CC" w:rsidP="00BD14CC">
      <w:pPr>
        <w:spacing w:line="240" w:lineRule="auto"/>
        <w:rPr>
          <w:sz w:val="20"/>
          <w:szCs w:val="20"/>
        </w:rPr>
        <w:sectPr w:rsidR="00BD14CC" w:rsidRPr="00EF3DB3">
          <w:pgSz w:w="12240" w:h="15840"/>
          <w:pgMar w:top="1440" w:right="1440" w:bottom="1440" w:left="1440" w:header="720" w:footer="720" w:gutter="0"/>
          <w:cols w:space="720"/>
          <w:docGrid w:linePitch="360"/>
        </w:sectPr>
      </w:pPr>
      <w:proofErr w:type="spellStart"/>
      <w:r w:rsidRPr="00EF3DB3">
        <w:rPr>
          <w:sz w:val="20"/>
          <w:szCs w:val="20"/>
          <w:vertAlign w:val="superscript"/>
        </w:rPr>
        <w:t>a</w:t>
      </w:r>
      <w:r w:rsidRPr="00347731">
        <w:rPr>
          <w:sz w:val="20"/>
          <w:szCs w:val="20"/>
        </w:rPr>
        <w:t>Plasma</w:t>
      </w:r>
      <w:proofErr w:type="spellEnd"/>
      <w:r w:rsidRPr="00347731">
        <w:rPr>
          <w:sz w:val="20"/>
          <w:szCs w:val="20"/>
        </w:rPr>
        <w:t xml:space="preserve"> samples obtained at 0.25, 0.5, 1, 2, 4, 6, 8, 24 hours post-dose</w:t>
      </w:r>
      <w:r>
        <w:rPr>
          <w:sz w:val="20"/>
          <w:szCs w:val="20"/>
        </w:rPr>
        <w:t xml:space="preserve"> (doses expressed as </w:t>
      </w:r>
      <w:r w:rsidRPr="00F85D7A">
        <w:rPr>
          <w:sz w:val="20"/>
          <w:szCs w:val="20"/>
        </w:rPr>
        <w:t>(</w:t>
      </w:r>
      <w:r w:rsidRPr="00F85D7A">
        <w:rPr>
          <w:i/>
          <w:iCs/>
          <w:sz w:val="20"/>
          <w:szCs w:val="20"/>
        </w:rPr>
        <w:t>S</w:t>
      </w:r>
      <w:r>
        <w:rPr>
          <w:sz w:val="20"/>
          <w:szCs w:val="20"/>
        </w:rPr>
        <w:t xml:space="preserve">)-mepazine free </w:t>
      </w:r>
      <w:r w:rsidRPr="00F85D7A">
        <w:rPr>
          <w:sz w:val="20"/>
          <w:szCs w:val="20"/>
        </w:rPr>
        <w:t>base</w:t>
      </w:r>
      <w:r>
        <w:rPr>
          <w:sz w:val="20"/>
          <w:szCs w:val="20"/>
        </w:rPr>
        <w:t>)</w:t>
      </w:r>
      <w:r w:rsidRPr="00347731">
        <w:rPr>
          <w:sz w:val="20"/>
          <w:szCs w:val="20"/>
        </w:rPr>
        <w:t xml:space="preserve">. </w:t>
      </w:r>
      <w:r>
        <w:rPr>
          <w:sz w:val="20"/>
          <w:szCs w:val="20"/>
        </w:rPr>
        <w:t xml:space="preserve">MPT-0308 is </w:t>
      </w:r>
      <w:r w:rsidRPr="000A326C">
        <w:rPr>
          <w:bCs/>
          <w:sz w:val="20"/>
          <w:szCs w:val="20"/>
        </w:rPr>
        <w:t>(</w:t>
      </w:r>
      <w:r w:rsidRPr="000A326C">
        <w:rPr>
          <w:bCs/>
          <w:i/>
          <w:sz w:val="20"/>
          <w:szCs w:val="20"/>
        </w:rPr>
        <w:t>S</w:t>
      </w:r>
      <w:r>
        <w:rPr>
          <w:bCs/>
          <w:sz w:val="20"/>
          <w:szCs w:val="20"/>
        </w:rPr>
        <w:t>)-m</w:t>
      </w:r>
      <w:r w:rsidRPr="000A326C">
        <w:rPr>
          <w:bCs/>
          <w:sz w:val="20"/>
          <w:szCs w:val="20"/>
        </w:rPr>
        <w:t>epazine</w:t>
      </w:r>
      <w:r>
        <w:rPr>
          <w:bCs/>
          <w:sz w:val="20"/>
          <w:szCs w:val="20"/>
        </w:rPr>
        <w:t xml:space="preserve"> hydrochloride. </w:t>
      </w:r>
      <w:proofErr w:type="spellStart"/>
      <w:r w:rsidRPr="00347731">
        <w:rPr>
          <w:sz w:val="20"/>
          <w:szCs w:val="20"/>
          <w:vertAlign w:val="superscript"/>
        </w:rPr>
        <w:t>b</w:t>
      </w:r>
      <w:r>
        <w:rPr>
          <w:sz w:val="20"/>
          <w:szCs w:val="20"/>
        </w:rPr>
        <w:t>C</w:t>
      </w:r>
      <w:r w:rsidRPr="00EF3DB3">
        <w:rPr>
          <w:sz w:val="20"/>
          <w:szCs w:val="20"/>
        </w:rPr>
        <w:t>oncentration</w:t>
      </w:r>
      <w:proofErr w:type="spellEnd"/>
      <w:r w:rsidRPr="00EF3DB3">
        <w:rPr>
          <w:sz w:val="20"/>
          <w:szCs w:val="20"/>
        </w:rPr>
        <w:t xml:space="preserve"> in ng/mL</w:t>
      </w:r>
    </w:p>
    <w:p w14:paraId="3F40E730" w14:textId="39956E49" w:rsidR="00E86C40" w:rsidRPr="00E64949" w:rsidRDefault="00754A56" w:rsidP="00B17A87">
      <w:pPr>
        <w:pStyle w:val="Heading1"/>
      </w:pPr>
      <w:bookmarkStart w:id="17" w:name="_Toc108472484"/>
      <w:r>
        <w:lastRenderedPageBreak/>
        <w:t xml:space="preserve">5. </w:t>
      </w:r>
      <w:r w:rsidR="00E86C40" w:rsidRPr="00E64949">
        <w:t>Supplementary Figures</w:t>
      </w:r>
      <w:bookmarkEnd w:id="16"/>
      <w:bookmarkEnd w:id="17"/>
    </w:p>
    <w:p w14:paraId="5FBA9B1E" w14:textId="36549E0F" w:rsidR="000E2368" w:rsidRPr="00E2683E" w:rsidRDefault="000E2368" w:rsidP="000E2368">
      <w:pPr>
        <w:rPr>
          <w:bCs/>
        </w:rPr>
      </w:pPr>
      <w:bookmarkStart w:id="18" w:name="_Toc108434923"/>
      <w:bookmarkStart w:id="19" w:name="_Toc108472485"/>
      <w:r w:rsidRPr="00FC26B7">
        <w:rPr>
          <w:rStyle w:val="Heading2Char"/>
        </w:rPr>
        <w:t>Figure S1. Comparison of the efficacy of MPT-0118 and MPT-0308 in the D4M.3A syngeneic tumor model and assessment of lead-in therapy with MPT-0118.</w:t>
      </w:r>
      <w:bookmarkEnd w:id="18"/>
      <w:bookmarkEnd w:id="19"/>
      <w:r>
        <w:t xml:space="preserve"> </w:t>
      </w:r>
      <w:r>
        <w:rPr>
          <w:b/>
        </w:rPr>
        <w:t>A</w:t>
      </w:r>
      <w:r>
        <w:t xml:space="preserve">) </w:t>
      </w:r>
      <w:r w:rsidRPr="00E75716">
        <w:t xml:space="preserve">MPT-0308 and MPT-0118 </w:t>
      </w:r>
      <w:r>
        <w:t xml:space="preserve">monotherapy. </w:t>
      </w:r>
      <w:r>
        <w:rPr>
          <w:b/>
        </w:rPr>
        <w:t>B</w:t>
      </w:r>
      <w:r w:rsidRPr="00E75716">
        <w:t xml:space="preserve">) MPT-0308 and MPT-0118 </w:t>
      </w:r>
      <w:r>
        <w:t>in c</w:t>
      </w:r>
      <w:r w:rsidRPr="00E75716">
        <w:t xml:space="preserve">ombination </w:t>
      </w:r>
      <w:r>
        <w:t>with anti-PD-1.</w:t>
      </w:r>
      <w:r w:rsidRPr="00913CCA">
        <w:t xml:space="preserve"> </w:t>
      </w:r>
      <w:r w:rsidRPr="00BA706B">
        <w:rPr>
          <w:b/>
        </w:rPr>
        <w:t>A</w:t>
      </w:r>
      <w:r>
        <w:t xml:space="preserve"> and </w:t>
      </w:r>
      <w:r w:rsidRPr="00BA706B">
        <w:rPr>
          <w:b/>
        </w:rPr>
        <w:t>B</w:t>
      </w:r>
      <w:r>
        <w:t xml:space="preserve">) MPT dosing: 32 mg/kg IP, QD; anti-PD-1 dosing: 3 </w:t>
      </w:r>
      <w:r w:rsidRPr="006465E3">
        <w:t xml:space="preserve">x 200 </w:t>
      </w:r>
      <w:r w:rsidRPr="006465E3">
        <w:rPr>
          <w:rFonts w:ascii="Century" w:hAnsi="Century"/>
        </w:rPr>
        <w:t>μ</w:t>
      </w:r>
      <w:r w:rsidRPr="006465E3">
        <w:t>g, IP, QOD</w:t>
      </w:r>
      <w:r>
        <w:t>. D</w:t>
      </w:r>
      <w:r w:rsidRPr="00E75716">
        <w:t>oses expressed as (</w:t>
      </w:r>
      <w:r w:rsidRPr="00E75716">
        <w:rPr>
          <w:i/>
          <w:iCs/>
        </w:rPr>
        <w:t>S</w:t>
      </w:r>
      <w:r w:rsidRPr="00E75716">
        <w:t>)-mepazine free</w:t>
      </w:r>
      <w:r w:rsidR="00BB23DB">
        <w:t xml:space="preserve"> </w:t>
      </w:r>
      <w:r w:rsidRPr="00E75716">
        <w:t>base</w:t>
      </w:r>
      <w:r>
        <w:t xml:space="preserve"> (MW: 310.46). R</w:t>
      </w:r>
      <w:r w:rsidRPr="000D564E">
        <w:t>esults are expressed as means ±</w:t>
      </w:r>
      <w:r>
        <w:t xml:space="preserve"> SEM (</w:t>
      </w:r>
      <w:r w:rsidRPr="00431866">
        <w:rPr>
          <w:i/>
        </w:rPr>
        <w:t>n</w:t>
      </w:r>
      <w:r>
        <w:t xml:space="preserve"> = 10 per cohort). No statistical differences were found between </w:t>
      </w:r>
      <w:r w:rsidR="00411187">
        <w:t>(</w:t>
      </w:r>
      <w:r w:rsidR="00411187" w:rsidRPr="00411187">
        <w:rPr>
          <w:i/>
        </w:rPr>
        <w:t>S</w:t>
      </w:r>
      <w:r w:rsidR="00411187">
        <w:t>)-mepazine</w:t>
      </w:r>
      <w:r>
        <w:t xml:space="preserve"> salt forms using</w:t>
      </w:r>
      <w:r w:rsidRPr="00E75716">
        <w:t xml:space="preserve"> two-</w:t>
      </w:r>
      <w:r>
        <w:t>way ANOVA</w:t>
      </w:r>
      <w:r w:rsidRPr="00E75716">
        <w:t>.</w:t>
      </w:r>
      <w:r>
        <w:t xml:space="preserve"> Statistical differences for the monotherapy</w:t>
      </w:r>
      <w:r w:rsidRPr="000D564E">
        <w:t xml:space="preserve"> and anti-PD-1 </w:t>
      </w:r>
      <w:r>
        <w:t>groups vs vehicle (A) and for the combination groups vs anti-PD-1 (B) are</w:t>
      </w:r>
      <w:r w:rsidRPr="00E75716">
        <w:t xml:space="preserve"> </w:t>
      </w:r>
      <w:r>
        <w:t xml:space="preserve">not </w:t>
      </w:r>
      <w:r w:rsidRPr="00E75716">
        <w:t>shown</w:t>
      </w:r>
      <w:r>
        <w:t>.</w:t>
      </w:r>
      <w:r w:rsidRPr="00E75716">
        <w:t xml:space="preserve"> </w:t>
      </w:r>
      <w:r>
        <w:t>P</w:t>
      </w:r>
      <w:r w:rsidRPr="00E75716">
        <w:t xml:space="preserve">eritoneally infiltrated tumors </w:t>
      </w:r>
      <w:r>
        <w:t xml:space="preserve">are </w:t>
      </w:r>
      <w:r w:rsidRPr="00E75716">
        <w:t xml:space="preserve">included; mice with early mortality </w:t>
      </w:r>
      <w:r>
        <w:t xml:space="preserve">are </w:t>
      </w:r>
      <w:r w:rsidRPr="00E75716">
        <w:t>excluded (</w:t>
      </w:r>
      <w:r w:rsidRPr="00431866">
        <w:rPr>
          <w:i/>
        </w:rPr>
        <w:t>n</w:t>
      </w:r>
      <w:r>
        <w:t xml:space="preserve"> </w:t>
      </w:r>
      <w:r w:rsidRPr="00E75716">
        <w:t>=</w:t>
      </w:r>
      <w:r>
        <w:t xml:space="preserve"> 4). </w:t>
      </w:r>
      <w:r w:rsidRPr="003C1C53">
        <w:rPr>
          <w:b/>
        </w:rPr>
        <w:t>C</w:t>
      </w:r>
      <w:r>
        <w:t xml:space="preserve">) </w:t>
      </w:r>
      <w:r w:rsidRPr="00334607">
        <w:t>Comparison of tumor volumes</w:t>
      </w:r>
      <w:r>
        <w:t xml:space="preserve"> between </w:t>
      </w:r>
      <w:r w:rsidRPr="00334607">
        <w:t>anti-PD-1</w:t>
      </w:r>
      <w:r>
        <w:t>/MPT-0118</w:t>
      </w:r>
      <w:r w:rsidRPr="00334607">
        <w:t xml:space="preserve"> combination therapy</w:t>
      </w:r>
      <w:r>
        <w:t xml:space="preserve"> starting on day 9 (orange) versus MPT-0118 lead-in treatment (d</w:t>
      </w:r>
      <w:r w:rsidRPr="00334607">
        <w:t>ay</w:t>
      </w:r>
      <w:r>
        <w:t>s</w:t>
      </w:r>
      <w:r w:rsidRPr="00334607">
        <w:t xml:space="preserve"> 6</w:t>
      </w:r>
      <w:r>
        <w:t>-8) followed by</w:t>
      </w:r>
      <w:r w:rsidRPr="00334607">
        <w:t xml:space="preserve"> anti-PD-1</w:t>
      </w:r>
      <w:r>
        <w:t>/MPT-0118</w:t>
      </w:r>
      <w:r w:rsidRPr="00334607">
        <w:t xml:space="preserve"> combination therapy</w:t>
      </w:r>
      <w:r>
        <w:t xml:space="preserve"> starting on day 9 (green). MPT-0118 dosing: 64 mg/kg, PO, QD; anti-PD-1 dosing: 3 </w:t>
      </w:r>
      <w:r w:rsidRPr="006465E3">
        <w:t xml:space="preserve">x 200 </w:t>
      </w:r>
      <w:r w:rsidRPr="006465E3">
        <w:rPr>
          <w:rFonts w:ascii="Century" w:hAnsi="Century"/>
        </w:rPr>
        <w:t>μ</w:t>
      </w:r>
      <w:r w:rsidRPr="006465E3">
        <w:t>g, IP, QOD</w:t>
      </w:r>
      <w:r>
        <w:t>. D</w:t>
      </w:r>
      <w:r w:rsidRPr="00334607">
        <w:t xml:space="preserve">oses </w:t>
      </w:r>
      <w:r>
        <w:t xml:space="preserve">are </w:t>
      </w:r>
      <w:r w:rsidRPr="00334607">
        <w:t>expressed as (</w:t>
      </w:r>
      <w:r w:rsidRPr="00334607">
        <w:rPr>
          <w:i/>
          <w:iCs/>
        </w:rPr>
        <w:t>S</w:t>
      </w:r>
      <w:r w:rsidRPr="00334607">
        <w:t>)-mepazine free</w:t>
      </w:r>
      <w:r>
        <w:t xml:space="preserve"> </w:t>
      </w:r>
      <w:r w:rsidRPr="00334607">
        <w:t>base</w:t>
      </w:r>
      <w:r>
        <w:t xml:space="preserve"> (MW: 310.46).</w:t>
      </w:r>
      <w:r w:rsidRPr="00334607">
        <w:t xml:space="preserve"> </w:t>
      </w:r>
      <w:r>
        <w:t>R</w:t>
      </w:r>
      <w:r w:rsidRPr="00334607">
        <w:t>esults are expressed as means ± SEM</w:t>
      </w:r>
      <w:r>
        <w:t xml:space="preserve"> (</w:t>
      </w:r>
      <w:r w:rsidRPr="00431866">
        <w:rPr>
          <w:i/>
        </w:rPr>
        <w:t>n</w:t>
      </w:r>
      <w:r>
        <w:t xml:space="preserve"> = 10 per cohort). No significant difference was found between lead-in dosing with MPT-0118 followed by combination therapy vs simultaneous initiation of combination therapy using two-way ANOVA</w:t>
      </w:r>
      <w:r w:rsidRPr="00B4261D">
        <w:t xml:space="preserve">. </w:t>
      </w:r>
      <w:r>
        <w:t>S</w:t>
      </w:r>
      <w:r w:rsidRPr="00334607">
        <w:t>tatistical diffe</w:t>
      </w:r>
      <w:r>
        <w:t>rences for combination treatments vs anti-PD-1 are not shown. P</w:t>
      </w:r>
      <w:r w:rsidRPr="00334607">
        <w:t>eritoneally infiltrated tumors</w:t>
      </w:r>
      <w:r>
        <w:t xml:space="preserve"> are</w:t>
      </w:r>
      <w:r w:rsidRPr="00334607">
        <w:t xml:space="preserve"> included; </w:t>
      </w:r>
      <w:r>
        <w:t>n</w:t>
      </w:r>
      <w:r w:rsidRPr="00334607">
        <w:t xml:space="preserve">o mice </w:t>
      </w:r>
      <w:r>
        <w:t xml:space="preserve">are </w:t>
      </w:r>
      <w:r w:rsidRPr="00334607">
        <w:t>excluded</w:t>
      </w:r>
      <w:r>
        <w:t xml:space="preserve"> for early mortality. Abbreviations: anti-PD-1, anti-p</w:t>
      </w:r>
      <w:r w:rsidRPr="00F04067">
        <w:rPr>
          <w:bCs/>
        </w:rPr>
        <w:t>rogrammed cell death protein 1</w:t>
      </w:r>
      <w:r>
        <w:rPr>
          <w:bCs/>
        </w:rPr>
        <w:t xml:space="preserve"> </w:t>
      </w:r>
      <w:r>
        <w:t>antibody</w:t>
      </w:r>
      <w:r w:rsidRPr="00334607">
        <w:t xml:space="preserve">; </w:t>
      </w:r>
      <w:r>
        <w:t xml:space="preserve">ns, not significant; TU, tumor. </w:t>
      </w:r>
    </w:p>
    <w:p w14:paraId="1A603B1E" w14:textId="4B4BF8BF" w:rsidR="007B50B3" w:rsidRPr="000E2368" w:rsidRDefault="000E2368" w:rsidP="000E2368">
      <w:pPr>
        <w:rPr>
          <w:color w:val="000000" w:themeColor="text1"/>
        </w:rPr>
      </w:pPr>
      <w:bookmarkStart w:id="20" w:name="_Toc108434924"/>
      <w:bookmarkStart w:id="21" w:name="_Toc108472486"/>
      <w:r w:rsidRPr="00FC26B7">
        <w:rPr>
          <w:rStyle w:val="Heading2Char"/>
        </w:rPr>
        <w:t>Figure S2. Dose-response of MPT-0308 in immune-proficient MDOTS and immune-deficient spheroids.</w:t>
      </w:r>
      <w:bookmarkEnd w:id="20"/>
      <w:bookmarkEnd w:id="21"/>
      <w:r w:rsidRPr="00F200AB">
        <w:rPr>
          <w:b/>
        </w:rPr>
        <w:t xml:space="preserve"> </w:t>
      </w:r>
      <w:r>
        <w:rPr>
          <w:b/>
        </w:rPr>
        <w:t>A</w:t>
      </w:r>
      <w:r>
        <w:t>)</w:t>
      </w:r>
      <w:r w:rsidRPr="00BB3DFA">
        <w:t xml:space="preserve"> </w:t>
      </w:r>
      <w:r w:rsidRPr="002E0169">
        <w:rPr>
          <w:color w:val="000000" w:themeColor="text1"/>
        </w:rPr>
        <w:t xml:space="preserve">Effect of </w:t>
      </w:r>
      <w:r w:rsidRPr="00EB53F0">
        <w:rPr>
          <w:iCs/>
          <w:color w:val="000000" w:themeColor="text1"/>
        </w:rPr>
        <w:t>MPT-0308</w:t>
      </w:r>
      <w:r>
        <w:t xml:space="preserve"> or anti-mouse PD-1 (10 </w:t>
      </w:r>
      <w:r>
        <w:sym w:font="Symbol" w:char="F06D"/>
      </w:r>
      <w:r>
        <w:t xml:space="preserve">g/mL) </w:t>
      </w:r>
      <w:r w:rsidRPr="002E0169">
        <w:rPr>
          <w:color w:val="000000" w:themeColor="text1"/>
        </w:rPr>
        <w:t xml:space="preserve">on growth of </w:t>
      </w:r>
      <w:r>
        <w:rPr>
          <w:color w:val="000000" w:themeColor="text1"/>
        </w:rPr>
        <w:t xml:space="preserve">cell-line-derived D4M.3A </w:t>
      </w:r>
      <w:r w:rsidRPr="002E0169">
        <w:rPr>
          <w:color w:val="000000" w:themeColor="text1"/>
        </w:rPr>
        <w:t>murine melanoma tumor spheroids</w:t>
      </w:r>
      <w:r>
        <w:rPr>
          <w:color w:val="000000" w:themeColor="text1"/>
        </w:rPr>
        <w:t xml:space="preserve"> (immune deficient)</w:t>
      </w:r>
      <w:r w:rsidRPr="002E0169">
        <w:rPr>
          <w:color w:val="000000" w:themeColor="text1"/>
        </w:rPr>
        <w:t xml:space="preserve"> in 3D microfluidic culture (</w:t>
      </w:r>
      <w:r>
        <w:rPr>
          <w:color w:val="000000" w:themeColor="text1"/>
        </w:rPr>
        <w:t>d</w:t>
      </w:r>
      <w:r w:rsidRPr="002E0169">
        <w:rPr>
          <w:color w:val="000000" w:themeColor="text1"/>
        </w:rPr>
        <w:t xml:space="preserve">ay 4). </w:t>
      </w:r>
      <w:r>
        <w:rPr>
          <w:b/>
        </w:rPr>
        <w:t>B</w:t>
      </w:r>
      <w:r>
        <w:t>)</w:t>
      </w:r>
      <w:r w:rsidRPr="00BB3DFA">
        <w:t xml:space="preserve"> </w:t>
      </w:r>
      <w:r w:rsidRPr="002E0169">
        <w:rPr>
          <w:color w:val="000000" w:themeColor="text1"/>
        </w:rPr>
        <w:t xml:space="preserve">Effect of MPT-0308 on growth of </w:t>
      </w:r>
      <w:r>
        <w:rPr>
          <w:color w:val="000000" w:themeColor="text1"/>
        </w:rPr>
        <w:t>D4M.3A MDOTS</w:t>
      </w:r>
      <w:r w:rsidRPr="002E0169">
        <w:rPr>
          <w:color w:val="000000" w:themeColor="text1"/>
        </w:rPr>
        <w:t xml:space="preserve"> </w:t>
      </w:r>
      <w:r>
        <w:rPr>
          <w:color w:val="000000" w:themeColor="text1"/>
        </w:rPr>
        <w:t>(immune proficient)</w:t>
      </w:r>
      <w:r w:rsidRPr="002E0169">
        <w:rPr>
          <w:color w:val="000000" w:themeColor="text1"/>
        </w:rPr>
        <w:t xml:space="preserve"> in 3D microfluidic culture (</w:t>
      </w:r>
      <w:r>
        <w:rPr>
          <w:color w:val="000000" w:themeColor="text1"/>
        </w:rPr>
        <w:t>d</w:t>
      </w:r>
      <w:r w:rsidRPr="002E0169">
        <w:rPr>
          <w:color w:val="000000" w:themeColor="text1"/>
        </w:rPr>
        <w:t xml:space="preserve">ay 4). </w:t>
      </w:r>
      <w:r>
        <w:rPr>
          <w:b/>
        </w:rPr>
        <w:t>C</w:t>
      </w:r>
      <w:r w:rsidRPr="00150619">
        <w:t>)</w:t>
      </w:r>
      <w:r w:rsidRPr="00BB3DFA">
        <w:t xml:space="preserve"> </w:t>
      </w:r>
      <w:r w:rsidRPr="002E0169">
        <w:rPr>
          <w:color w:val="000000" w:themeColor="text1"/>
        </w:rPr>
        <w:t>Effect of anti-IFN</w:t>
      </w:r>
      <w:r w:rsidRPr="002E0169">
        <w:rPr>
          <w:color w:val="000000" w:themeColor="text1"/>
        </w:rPr>
        <w:sym w:font="Symbol" w:char="F067"/>
      </w:r>
      <w:r w:rsidRPr="002E0169">
        <w:rPr>
          <w:color w:val="000000" w:themeColor="text1"/>
        </w:rPr>
        <w:t xml:space="preserve"> (10 </w:t>
      </w:r>
      <w:r w:rsidRPr="002E0169">
        <w:rPr>
          <w:color w:val="000000" w:themeColor="text1"/>
        </w:rPr>
        <w:sym w:font="Symbol" w:char="F06D"/>
      </w:r>
      <w:r w:rsidRPr="002E0169">
        <w:rPr>
          <w:color w:val="000000" w:themeColor="text1"/>
        </w:rPr>
        <w:t xml:space="preserve">g/mL) on cell viability of </w:t>
      </w:r>
      <w:r>
        <w:rPr>
          <w:color w:val="000000" w:themeColor="text1"/>
        </w:rPr>
        <w:t xml:space="preserve">MC38 </w:t>
      </w:r>
      <w:r w:rsidRPr="002E0169">
        <w:rPr>
          <w:color w:val="000000" w:themeColor="text1"/>
        </w:rPr>
        <w:t xml:space="preserve">MDOTS </w:t>
      </w:r>
      <w:r>
        <w:rPr>
          <w:color w:val="000000" w:themeColor="text1"/>
        </w:rPr>
        <w:t xml:space="preserve">(immune proficient) </w:t>
      </w:r>
      <w:r w:rsidRPr="002E0169">
        <w:rPr>
          <w:color w:val="000000" w:themeColor="text1"/>
        </w:rPr>
        <w:t xml:space="preserve">from the MC38 murine tumor model in 3D microfluidic culture with </w:t>
      </w:r>
      <w:r>
        <w:rPr>
          <w:color w:val="000000" w:themeColor="text1"/>
        </w:rPr>
        <w:t>indicated treatments</w:t>
      </w:r>
      <w:r w:rsidRPr="002E0169">
        <w:rPr>
          <w:color w:val="000000" w:themeColor="text1"/>
        </w:rPr>
        <w:t xml:space="preserve"> (</w:t>
      </w:r>
      <w:r>
        <w:rPr>
          <w:color w:val="000000" w:themeColor="text1"/>
        </w:rPr>
        <w:t>d</w:t>
      </w:r>
      <w:r w:rsidRPr="002E0169">
        <w:rPr>
          <w:color w:val="000000" w:themeColor="text1"/>
        </w:rPr>
        <w:t xml:space="preserve">ay 6). </w:t>
      </w:r>
      <w:r>
        <w:rPr>
          <w:color w:val="000000" w:themeColor="text1"/>
        </w:rPr>
        <w:t xml:space="preserve">Statistical analysis: </w:t>
      </w:r>
      <w:r w:rsidRPr="00BB3DFA">
        <w:rPr>
          <w:color w:val="000000" w:themeColor="text1"/>
        </w:rPr>
        <w:t xml:space="preserve"> </w:t>
      </w:r>
      <w:r>
        <w:rPr>
          <w:color w:val="000000" w:themeColor="text1"/>
        </w:rPr>
        <w:t>one</w:t>
      </w:r>
      <w:r w:rsidRPr="00BB3DFA">
        <w:rPr>
          <w:color w:val="000000" w:themeColor="text1"/>
        </w:rPr>
        <w:t xml:space="preserve">-way ANOVA with </w:t>
      </w:r>
      <w:r w:rsidRPr="009A5CE7">
        <w:rPr>
          <w:color w:val="000000" w:themeColor="text1"/>
        </w:rPr>
        <w:t>Dunn’s multiple comparisons test</w:t>
      </w:r>
      <w:r>
        <w:rPr>
          <w:color w:val="000000" w:themeColor="text1"/>
        </w:rPr>
        <w:t xml:space="preserve">, </w:t>
      </w:r>
      <w:r w:rsidRPr="00431866">
        <w:rPr>
          <w:i/>
          <w:iCs/>
          <w:color w:val="000000" w:themeColor="text1"/>
        </w:rPr>
        <w:t>n</w:t>
      </w:r>
      <w:r>
        <w:rPr>
          <w:color w:val="000000" w:themeColor="text1"/>
        </w:rPr>
        <w:t xml:space="preserve"> </w:t>
      </w:r>
      <w:r w:rsidRPr="00BB3DFA">
        <w:rPr>
          <w:color w:val="000000" w:themeColor="text1"/>
        </w:rPr>
        <w:t>=</w:t>
      </w:r>
      <w:r>
        <w:rPr>
          <w:color w:val="000000" w:themeColor="text1"/>
        </w:rPr>
        <w:t xml:space="preserve"> </w:t>
      </w:r>
      <w:r w:rsidRPr="00BB3DFA">
        <w:rPr>
          <w:color w:val="000000" w:themeColor="text1"/>
        </w:rPr>
        <w:t>3</w:t>
      </w:r>
      <w:r>
        <w:rPr>
          <w:color w:val="000000" w:themeColor="text1"/>
        </w:rPr>
        <w:t xml:space="preserve"> biological replicates</w:t>
      </w:r>
      <w:r w:rsidRPr="009A5CE7">
        <w:rPr>
          <w:color w:val="000000" w:themeColor="text1"/>
        </w:rPr>
        <w:t>;</w:t>
      </w:r>
      <w:r w:rsidRPr="00BB3DFA">
        <w:rPr>
          <w:color w:val="000000" w:themeColor="text1"/>
        </w:rPr>
        <w:t xml:space="preserve"> </w:t>
      </w:r>
      <w:r>
        <w:rPr>
          <w:color w:val="000000" w:themeColor="text1"/>
        </w:rPr>
        <w:t xml:space="preserve">* </w:t>
      </w:r>
      <w:r>
        <w:rPr>
          <w:i/>
          <w:iCs/>
          <w:color w:val="000000" w:themeColor="text1"/>
        </w:rPr>
        <w:t>p</w:t>
      </w:r>
      <w:r w:rsidRPr="00BB3DFA">
        <w:rPr>
          <w:i/>
          <w:iCs/>
          <w:color w:val="000000" w:themeColor="text1"/>
        </w:rPr>
        <w:t xml:space="preserve"> </w:t>
      </w:r>
      <w:r w:rsidRPr="00BB3DFA">
        <w:rPr>
          <w:color w:val="000000" w:themeColor="text1"/>
        </w:rPr>
        <w:t>&lt; 0.05; **</w:t>
      </w:r>
      <w:r>
        <w:rPr>
          <w:color w:val="000000" w:themeColor="text1"/>
        </w:rPr>
        <w:t xml:space="preserve"> </w:t>
      </w:r>
      <w:r>
        <w:rPr>
          <w:i/>
          <w:iCs/>
          <w:color w:val="000000" w:themeColor="text1"/>
        </w:rPr>
        <w:t>p</w:t>
      </w:r>
      <w:r w:rsidRPr="00BB3DFA">
        <w:rPr>
          <w:i/>
          <w:iCs/>
          <w:color w:val="000000" w:themeColor="text1"/>
        </w:rPr>
        <w:t xml:space="preserve"> </w:t>
      </w:r>
      <w:r w:rsidRPr="00BB3DFA">
        <w:rPr>
          <w:color w:val="000000" w:themeColor="text1"/>
        </w:rPr>
        <w:t>&lt; 0.01</w:t>
      </w:r>
      <w:r>
        <w:rPr>
          <w:color w:val="000000" w:themeColor="text1"/>
        </w:rPr>
        <w:t xml:space="preserve">; </w:t>
      </w:r>
      <w:r w:rsidRPr="00BB3DFA">
        <w:rPr>
          <w:color w:val="000000" w:themeColor="text1"/>
        </w:rPr>
        <w:t>*</w:t>
      </w:r>
      <w:r>
        <w:rPr>
          <w:color w:val="000000" w:themeColor="text1"/>
        </w:rPr>
        <w:t>*</w:t>
      </w:r>
      <w:r w:rsidRPr="00BB3DFA">
        <w:rPr>
          <w:color w:val="000000" w:themeColor="text1"/>
        </w:rPr>
        <w:t>*</w:t>
      </w:r>
      <w:r>
        <w:rPr>
          <w:color w:val="000000" w:themeColor="text1"/>
        </w:rPr>
        <w:t xml:space="preserve"> </w:t>
      </w:r>
      <w:r>
        <w:rPr>
          <w:i/>
          <w:iCs/>
          <w:color w:val="000000" w:themeColor="text1"/>
        </w:rPr>
        <w:t>p</w:t>
      </w:r>
      <w:r w:rsidRPr="00BB3DFA">
        <w:rPr>
          <w:i/>
          <w:iCs/>
          <w:color w:val="000000" w:themeColor="text1"/>
        </w:rPr>
        <w:t xml:space="preserve"> </w:t>
      </w:r>
      <w:r w:rsidRPr="00BB3DFA">
        <w:rPr>
          <w:color w:val="000000" w:themeColor="text1"/>
        </w:rPr>
        <w:t>&lt; 0.0</w:t>
      </w:r>
      <w:r>
        <w:rPr>
          <w:color w:val="000000" w:themeColor="text1"/>
        </w:rPr>
        <w:t>0</w:t>
      </w:r>
      <w:r w:rsidRPr="00BB3DFA">
        <w:rPr>
          <w:color w:val="000000" w:themeColor="text1"/>
        </w:rPr>
        <w:t>1</w:t>
      </w:r>
      <w:r>
        <w:rPr>
          <w:color w:val="000000" w:themeColor="text1"/>
        </w:rPr>
        <w:t xml:space="preserve">; </w:t>
      </w:r>
      <w:r w:rsidRPr="00BB3DFA">
        <w:rPr>
          <w:color w:val="000000" w:themeColor="text1"/>
        </w:rPr>
        <w:t>*</w:t>
      </w:r>
      <w:r>
        <w:rPr>
          <w:color w:val="000000" w:themeColor="text1"/>
        </w:rPr>
        <w:t>*</w:t>
      </w:r>
      <w:r w:rsidRPr="00BB3DFA">
        <w:rPr>
          <w:color w:val="000000" w:themeColor="text1"/>
        </w:rPr>
        <w:t>*</w:t>
      </w:r>
      <w:r>
        <w:rPr>
          <w:color w:val="000000" w:themeColor="text1"/>
        </w:rPr>
        <w:t xml:space="preserve">* </w:t>
      </w:r>
      <w:r>
        <w:rPr>
          <w:i/>
          <w:iCs/>
          <w:color w:val="000000" w:themeColor="text1"/>
        </w:rPr>
        <w:t>p</w:t>
      </w:r>
      <w:r w:rsidRPr="00BB3DFA">
        <w:rPr>
          <w:i/>
          <w:iCs/>
          <w:color w:val="000000" w:themeColor="text1"/>
        </w:rPr>
        <w:t xml:space="preserve"> </w:t>
      </w:r>
      <w:r w:rsidRPr="00BB3DFA">
        <w:rPr>
          <w:color w:val="000000" w:themeColor="text1"/>
        </w:rPr>
        <w:t>&lt; 0.0</w:t>
      </w:r>
      <w:r>
        <w:rPr>
          <w:color w:val="000000" w:themeColor="text1"/>
        </w:rPr>
        <w:t>00</w:t>
      </w:r>
      <w:r w:rsidRPr="00BB3DFA">
        <w:rPr>
          <w:color w:val="000000" w:themeColor="text1"/>
        </w:rPr>
        <w:t>1)</w:t>
      </w:r>
      <w:r>
        <w:rPr>
          <w:color w:val="000000" w:themeColor="text1"/>
        </w:rPr>
        <w:t xml:space="preserve">. Abbreviations: </w:t>
      </w:r>
      <w:r>
        <w:t>anti-</w:t>
      </w:r>
      <w:r>
        <w:rPr>
          <w:color w:val="000000" w:themeColor="text1"/>
        </w:rPr>
        <w:t>IFN-</w:t>
      </w:r>
      <w:r>
        <w:rPr>
          <w:color w:val="000000" w:themeColor="text1"/>
        </w:rPr>
        <w:sym w:font="Symbol" w:char="F067"/>
      </w:r>
      <w:r>
        <w:rPr>
          <w:color w:val="000000" w:themeColor="text1"/>
        </w:rPr>
        <w:t>, anti-interferon-</w:t>
      </w:r>
      <w:r>
        <w:rPr>
          <w:color w:val="000000" w:themeColor="text1"/>
        </w:rPr>
        <w:sym w:font="Symbol" w:char="F067"/>
      </w:r>
      <w:r>
        <w:rPr>
          <w:color w:val="000000" w:themeColor="text1"/>
        </w:rPr>
        <w:t xml:space="preserve"> antibody;</w:t>
      </w:r>
      <w:r>
        <w:t xml:space="preserve"> anti-PD-1, </w:t>
      </w:r>
      <w:r w:rsidRPr="007F36C1">
        <w:t>anti-</w:t>
      </w:r>
      <w:r>
        <w:t>p</w:t>
      </w:r>
      <w:r w:rsidRPr="00F04067">
        <w:rPr>
          <w:bCs/>
        </w:rPr>
        <w:t xml:space="preserve">rogrammed cell </w:t>
      </w:r>
      <w:r w:rsidRPr="00F04067">
        <w:rPr>
          <w:bCs/>
        </w:rPr>
        <w:lastRenderedPageBreak/>
        <w:t>death protein 1</w:t>
      </w:r>
      <w:r w:rsidRPr="007F36C1">
        <w:t xml:space="preserve"> antibody</w:t>
      </w:r>
      <w:r>
        <w:rPr>
          <w:color w:val="000000" w:themeColor="text1"/>
        </w:rPr>
        <w:t xml:space="preserve">; MDOTS, murine-derived </w:t>
      </w:r>
      <w:r w:rsidRPr="00953ACE">
        <w:rPr>
          <w:bCs/>
          <w:color w:val="000000" w:themeColor="text1"/>
        </w:rPr>
        <w:t>organotypic tumor spheroids</w:t>
      </w:r>
      <w:r>
        <w:rPr>
          <w:bCs/>
          <w:color w:val="000000" w:themeColor="text1"/>
        </w:rPr>
        <w:t>;</w:t>
      </w:r>
      <w:r w:rsidRPr="00953ACE">
        <w:rPr>
          <w:color w:val="000000" w:themeColor="text1"/>
        </w:rPr>
        <w:t xml:space="preserve"> </w:t>
      </w:r>
      <w:r>
        <w:rPr>
          <w:color w:val="000000" w:themeColor="text1"/>
        </w:rPr>
        <w:t>TME, tumor microenvironment.</w:t>
      </w:r>
    </w:p>
    <w:sectPr w:rsidR="007B50B3" w:rsidRPr="000E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7F285D"/>
    <w:multiLevelType w:val="hybridMultilevel"/>
    <w:tmpl w:val="C59A427A"/>
    <w:lvl w:ilvl="0" w:tplc="73F4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D0D0D"/>
    <w:multiLevelType w:val="multilevel"/>
    <w:tmpl w:val="D23E26EA"/>
    <w:lvl w:ilvl="0">
      <w:start w:val="10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BC"/>
    <w:rsid w:val="00005378"/>
    <w:rsid w:val="00014701"/>
    <w:rsid w:val="000171A9"/>
    <w:rsid w:val="00021BEA"/>
    <w:rsid w:val="0003119A"/>
    <w:rsid w:val="00032D46"/>
    <w:rsid w:val="00043D36"/>
    <w:rsid w:val="00052E9E"/>
    <w:rsid w:val="00081D61"/>
    <w:rsid w:val="000852B5"/>
    <w:rsid w:val="000852EF"/>
    <w:rsid w:val="000855AD"/>
    <w:rsid w:val="00094186"/>
    <w:rsid w:val="00095DBF"/>
    <w:rsid w:val="000A326C"/>
    <w:rsid w:val="000B2D35"/>
    <w:rsid w:val="000B2FD4"/>
    <w:rsid w:val="000C30B4"/>
    <w:rsid w:val="000C4459"/>
    <w:rsid w:val="000E2368"/>
    <w:rsid w:val="00104124"/>
    <w:rsid w:val="00136A2F"/>
    <w:rsid w:val="001511DD"/>
    <w:rsid w:val="001513C7"/>
    <w:rsid w:val="00162422"/>
    <w:rsid w:val="00174F97"/>
    <w:rsid w:val="0017511C"/>
    <w:rsid w:val="00184711"/>
    <w:rsid w:val="001865D3"/>
    <w:rsid w:val="001A0216"/>
    <w:rsid w:val="001B300D"/>
    <w:rsid w:val="001C093C"/>
    <w:rsid w:val="001C1AF5"/>
    <w:rsid w:val="001D0328"/>
    <w:rsid w:val="001E41AB"/>
    <w:rsid w:val="001F1ED0"/>
    <w:rsid w:val="001F50DC"/>
    <w:rsid w:val="001F6116"/>
    <w:rsid w:val="00215935"/>
    <w:rsid w:val="00221A52"/>
    <w:rsid w:val="00222339"/>
    <w:rsid w:val="00232C00"/>
    <w:rsid w:val="00237ACC"/>
    <w:rsid w:val="002573A5"/>
    <w:rsid w:val="00272123"/>
    <w:rsid w:val="00274D26"/>
    <w:rsid w:val="00275AD1"/>
    <w:rsid w:val="00294206"/>
    <w:rsid w:val="002955A4"/>
    <w:rsid w:val="002A09B6"/>
    <w:rsid w:val="002B00F5"/>
    <w:rsid w:val="002B4500"/>
    <w:rsid w:val="002D55E3"/>
    <w:rsid w:val="002D6C56"/>
    <w:rsid w:val="002E2529"/>
    <w:rsid w:val="002F2BE0"/>
    <w:rsid w:val="002F2D2D"/>
    <w:rsid w:val="002F2FC6"/>
    <w:rsid w:val="002F63A5"/>
    <w:rsid w:val="002F69D3"/>
    <w:rsid w:val="00302028"/>
    <w:rsid w:val="00307008"/>
    <w:rsid w:val="00320D96"/>
    <w:rsid w:val="003228F6"/>
    <w:rsid w:val="003375D1"/>
    <w:rsid w:val="0034447E"/>
    <w:rsid w:val="003454B4"/>
    <w:rsid w:val="0034761B"/>
    <w:rsid w:val="00347731"/>
    <w:rsid w:val="0035357E"/>
    <w:rsid w:val="00364F6D"/>
    <w:rsid w:val="003773DB"/>
    <w:rsid w:val="003877ED"/>
    <w:rsid w:val="003C03FA"/>
    <w:rsid w:val="003C0485"/>
    <w:rsid w:val="003C2A3E"/>
    <w:rsid w:val="003E6D04"/>
    <w:rsid w:val="00404E59"/>
    <w:rsid w:val="00411187"/>
    <w:rsid w:val="00415593"/>
    <w:rsid w:val="0043319C"/>
    <w:rsid w:val="0043743F"/>
    <w:rsid w:val="0044221F"/>
    <w:rsid w:val="00461E1D"/>
    <w:rsid w:val="00464DE7"/>
    <w:rsid w:val="00465755"/>
    <w:rsid w:val="004669F0"/>
    <w:rsid w:val="00470259"/>
    <w:rsid w:val="00491175"/>
    <w:rsid w:val="0049403C"/>
    <w:rsid w:val="004A7D72"/>
    <w:rsid w:val="004B13CD"/>
    <w:rsid w:val="004B3E2A"/>
    <w:rsid w:val="004C4635"/>
    <w:rsid w:val="004C5FCB"/>
    <w:rsid w:val="004C7BF6"/>
    <w:rsid w:val="004E0454"/>
    <w:rsid w:val="00500244"/>
    <w:rsid w:val="00517646"/>
    <w:rsid w:val="00524C04"/>
    <w:rsid w:val="0052652B"/>
    <w:rsid w:val="00562F58"/>
    <w:rsid w:val="00563AFE"/>
    <w:rsid w:val="00577C04"/>
    <w:rsid w:val="0059300E"/>
    <w:rsid w:val="005A4484"/>
    <w:rsid w:val="005B32D6"/>
    <w:rsid w:val="005B339A"/>
    <w:rsid w:val="005C3BE8"/>
    <w:rsid w:val="005C5CCA"/>
    <w:rsid w:val="005F426B"/>
    <w:rsid w:val="00605451"/>
    <w:rsid w:val="0061257E"/>
    <w:rsid w:val="00612A64"/>
    <w:rsid w:val="006159EC"/>
    <w:rsid w:val="0062214B"/>
    <w:rsid w:val="0063110F"/>
    <w:rsid w:val="00631442"/>
    <w:rsid w:val="00640235"/>
    <w:rsid w:val="00645738"/>
    <w:rsid w:val="0065111F"/>
    <w:rsid w:val="006603A4"/>
    <w:rsid w:val="006634CB"/>
    <w:rsid w:val="006755B0"/>
    <w:rsid w:val="00684368"/>
    <w:rsid w:val="0068764A"/>
    <w:rsid w:val="00696E6B"/>
    <w:rsid w:val="006C0450"/>
    <w:rsid w:val="006F12E5"/>
    <w:rsid w:val="006F160E"/>
    <w:rsid w:val="007007BC"/>
    <w:rsid w:val="007015C0"/>
    <w:rsid w:val="00713F02"/>
    <w:rsid w:val="00726E43"/>
    <w:rsid w:val="00736779"/>
    <w:rsid w:val="00754A56"/>
    <w:rsid w:val="0075772A"/>
    <w:rsid w:val="00766BE4"/>
    <w:rsid w:val="00784AC3"/>
    <w:rsid w:val="007B50B3"/>
    <w:rsid w:val="007C3BB0"/>
    <w:rsid w:val="007D1149"/>
    <w:rsid w:val="007D4DCF"/>
    <w:rsid w:val="007E2F31"/>
    <w:rsid w:val="007E630A"/>
    <w:rsid w:val="007F00BA"/>
    <w:rsid w:val="007F05CB"/>
    <w:rsid w:val="007F6309"/>
    <w:rsid w:val="00804A9A"/>
    <w:rsid w:val="00804B39"/>
    <w:rsid w:val="00811F52"/>
    <w:rsid w:val="00813779"/>
    <w:rsid w:val="008343E0"/>
    <w:rsid w:val="00843F47"/>
    <w:rsid w:val="008453FB"/>
    <w:rsid w:val="0085039D"/>
    <w:rsid w:val="008568E4"/>
    <w:rsid w:val="00857D19"/>
    <w:rsid w:val="008658B9"/>
    <w:rsid w:val="00866BF9"/>
    <w:rsid w:val="00893339"/>
    <w:rsid w:val="0089603A"/>
    <w:rsid w:val="008B031A"/>
    <w:rsid w:val="008C3D23"/>
    <w:rsid w:val="008D4045"/>
    <w:rsid w:val="008D650F"/>
    <w:rsid w:val="008E0725"/>
    <w:rsid w:val="008E11C7"/>
    <w:rsid w:val="008E7E08"/>
    <w:rsid w:val="0090004D"/>
    <w:rsid w:val="00906C4B"/>
    <w:rsid w:val="00914538"/>
    <w:rsid w:val="00932C78"/>
    <w:rsid w:val="009546F5"/>
    <w:rsid w:val="00965EE1"/>
    <w:rsid w:val="00972AF3"/>
    <w:rsid w:val="0097668F"/>
    <w:rsid w:val="00990903"/>
    <w:rsid w:val="00997770"/>
    <w:rsid w:val="009A0E09"/>
    <w:rsid w:val="009A5907"/>
    <w:rsid w:val="009B1350"/>
    <w:rsid w:val="009C1CA0"/>
    <w:rsid w:val="009F32F7"/>
    <w:rsid w:val="009F45CF"/>
    <w:rsid w:val="009F7FC4"/>
    <w:rsid w:val="00A05D6F"/>
    <w:rsid w:val="00A1428B"/>
    <w:rsid w:val="00A209DD"/>
    <w:rsid w:val="00A3504E"/>
    <w:rsid w:val="00A578AE"/>
    <w:rsid w:val="00A627A2"/>
    <w:rsid w:val="00A66881"/>
    <w:rsid w:val="00A66938"/>
    <w:rsid w:val="00A66BE5"/>
    <w:rsid w:val="00A77A46"/>
    <w:rsid w:val="00AA233F"/>
    <w:rsid w:val="00AB52EB"/>
    <w:rsid w:val="00AC3E6B"/>
    <w:rsid w:val="00AF0C30"/>
    <w:rsid w:val="00B17A87"/>
    <w:rsid w:val="00B25A4F"/>
    <w:rsid w:val="00B34C32"/>
    <w:rsid w:val="00B439A8"/>
    <w:rsid w:val="00B45EAF"/>
    <w:rsid w:val="00B539E5"/>
    <w:rsid w:val="00B70DB5"/>
    <w:rsid w:val="00B7504F"/>
    <w:rsid w:val="00B90A23"/>
    <w:rsid w:val="00B9322C"/>
    <w:rsid w:val="00B9586D"/>
    <w:rsid w:val="00BA6889"/>
    <w:rsid w:val="00BB23DB"/>
    <w:rsid w:val="00BB278E"/>
    <w:rsid w:val="00BD14CC"/>
    <w:rsid w:val="00BD40DB"/>
    <w:rsid w:val="00BE5E92"/>
    <w:rsid w:val="00BF03A3"/>
    <w:rsid w:val="00BF1CB4"/>
    <w:rsid w:val="00C03512"/>
    <w:rsid w:val="00C0646F"/>
    <w:rsid w:val="00C22A52"/>
    <w:rsid w:val="00C25ADB"/>
    <w:rsid w:val="00C30C5F"/>
    <w:rsid w:val="00C33DB1"/>
    <w:rsid w:val="00C34E60"/>
    <w:rsid w:val="00C378D7"/>
    <w:rsid w:val="00C51F8F"/>
    <w:rsid w:val="00C55A7C"/>
    <w:rsid w:val="00C577F3"/>
    <w:rsid w:val="00C67D22"/>
    <w:rsid w:val="00C74B63"/>
    <w:rsid w:val="00C82927"/>
    <w:rsid w:val="00C82B5C"/>
    <w:rsid w:val="00C83061"/>
    <w:rsid w:val="00C83BE1"/>
    <w:rsid w:val="00C91705"/>
    <w:rsid w:val="00CA4962"/>
    <w:rsid w:val="00CB7BD5"/>
    <w:rsid w:val="00CC48A4"/>
    <w:rsid w:val="00CD4967"/>
    <w:rsid w:val="00CD5721"/>
    <w:rsid w:val="00CD78C8"/>
    <w:rsid w:val="00CE7B2F"/>
    <w:rsid w:val="00CF0DE8"/>
    <w:rsid w:val="00CF1FB7"/>
    <w:rsid w:val="00D03BE7"/>
    <w:rsid w:val="00D42FA7"/>
    <w:rsid w:val="00D5386E"/>
    <w:rsid w:val="00D76D60"/>
    <w:rsid w:val="00D80776"/>
    <w:rsid w:val="00D9749E"/>
    <w:rsid w:val="00DA07B6"/>
    <w:rsid w:val="00DC0405"/>
    <w:rsid w:val="00DC1D4D"/>
    <w:rsid w:val="00DD6E6A"/>
    <w:rsid w:val="00DE715B"/>
    <w:rsid w:val="00DF5AFB"/>
    <w:rsid w:val="00E17296"/>
    <w:rsid w:val="00E2389C"/>
    <w:rsid w:val="00E331DA"/>
    <w:rsid w:val="00E64949"/>
    <w:rsid w:val="00E735CE"/>
    <w:rsid w:val="00E76671"/>
    <w:rsid w:val="00E84C4A"/>
    <w:rsid w:val="00E86C40"/>
    <w:rsid w:val="00E97840"/>
    <w:rsid w:val="00EA492A"/>
    <w:rsid w:val="00EB7341"/>
    <w:rsid w:val="00EE6DDD"/>
    <w:rsid w:val="00EF3DB3"/>
    <w:rsid w:val="00F213C3"/>
    <w:rsid w:val="00F2179E"/>
    <w:rsid w:val="00F57EBF"/>
    <w:rsid w:val="00F629EF"/>
    <w:rsid w:val="00F67B09"/>
    <w:rsid w:val="00F85D7A"/>
    <w:rsid w:val="00F91A95"/>
    <w:rsid w:val="00F92420"/>
    <w:rsid w:val="00FA0CAF"/>
    <w:rsid w:val="00FA6132"/>
    <w:rsid w:val="00FC26B7"/>
    <w:rsid w:val="00FC4192"/>
    <w:rsid w:val="00FD2114"/>
    <w:rsid w:val="00FD2EF6"/>
    <w:rsid w:val="00FD3C31"/>
    <w:rsid w:val="00FD4ADE"/>
    <w:rsid w:val="00FD4AF4"/>
    <w:rsid w:val="00FD4DD9"/>
    <w:rsid w:val="00FE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B40E"/>
  <w15:docId w15:val="{11A95171-0DEA-2042-823E-3C848DE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C00"/>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36A2F"/>
    <w:pPr>
      <w:keepNext/>
      <w:keepLines/>
      <w:spacing w:before="480" w:after="12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043D36"/>
    <w:pPr>
      <w:keepNext/>
      <w:keepLines/>
      <w:spacing w:before="200" w:after="0" w:line="240" w:lineRule="auto"/>
      <w:outlineLvl w:val="1"/>
    </w:pPr>
    <w:rPr>
      <w:rFonts w:eastAsiaTheme="maj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389C"/>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2389C"/>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136A2F"/>
    <w:rPr>
      <w:rFonts w:ascii="Times New Roman" w:eastAsiaTheme="majorEastAsia" w:hAnsi="Times New Roman" w:cs="Times New Roman"/>
      <w:b/>
      <w:bCs/>
      <w:sz w:val="28"/>
      <w:szCs w:val="28"/>
    </w:rPr>
  </w:style>
  <w:style w:type="paragraph" w:styleId="HTMLPreformatted">
    <w:name w:val="HTML Preformatted"/>
    <w:basedOn w:val="Normal"/>
    <w:link w:val="HTMLPreformattedChar"/>
    <w:uiPriority w:val="99"/>
    <w:unhideWhenUsed/>
    <w:rsid w:val="004B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13CD"/>
    <w:rPr>
      <w:rFonts w:ascii="Courier New" w:eastAsia="Times New Roman" w:hAnsi="Courier New" w:cs="Courier New"/>
      <w:sz w:val="20"/>
      <w:szCs w:val="20"/>
    </w:rPr>
  </w:style>
  <w:style w:type="character" w:customStyle="1" w:styleId="ffline">
    <w:name w:val="ff_line"/>
    <w:basedOn w:val="DefaultParagraphFont"/>
    <w:rsid w:val="004B13CD"/>
  </w:style>
  <w:style w:type="table" w:styleId="TableGrid">
    <w:name w:val="Table Grid"/>
    <w:basedOn w:val="TableNormal"/>
    <w:uiPriority w:val="59"/>
    <w:rsid w:val="004B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B13CD"/>
    <w:rPr>
      <w:sz w:val="16"/>
      <w:szCs w:val="16"/>
    </w:rPr>
  </w:style>
  <w:style w:type="paragraph" w:styleId="CommentText">
    <w:name w:val="annotation text"/>
    <w:basedOn w:val="Normal"/>
    <w:link w:val="CommentTextChar"/>
    <w:uiPriority w:val="99"/>
    <w:unhideWhenUsed/>
    <w:rsid w:val="004B13CD"/>
    <w:pPr>
      <w:spacing w:line="240" w:lineRule="auto"/>
    </w:pPr>
    <w:rPr>
      <w:rFonts w:ascii="Calibri" w:eastAsia="Calibri" w:hAnsi="Calibri"/>
      <w:sz w:val="20"/>
      <w:szCs w:val="20"/>
      <w:lang w:val="de-DE"/>
    </w:rPr>
  </w:style>
  <w:style w:type="character" w:customStyle="1" w:styleId="CommentTextChar">
    <w:name w:val="Comment Text Char"/>
    <w:basedOn w:val="DefaultParagraphFont"/>
    <w:link w:val="CommentText"/>
    <w:uiPriority w:val="99"/>
    <w:rsid w:val="004B13CD"/>
    <w:rPr>
      <w:rFonts w:ascii="Calibri" w:eastAsia="Calibri" w:hAnsi="Calibri" w:cs="Times New Roman"/>
      <w:sz w:val="20"/>
      <w:szCs w:val="20"/>
      <w:lang w:val="de-DE"/>
    </w:rPr>
  </w:style>
  <w:style w:type="paragraph" w:styleId="BalloonText">
    <w:name w:val="Balloon Text"/>
    <w:basedOn w:val="Normal"/>
    <w:link w:val="BalloonTextChar"/>
    <w:uiPriority w:val="99"/>
    <w:semiHidden/>
    <w:unhideWhenUsed/>
    <w:rsid w:val="004B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865D3"/>
    <w:rPr>
      <w:rFonts w:ascii="Times New Roman" w:eastAsiaTheme="minorHAnsi" w:hAnsi="Times New Roman"/>
      <w:b/>
      <w:bCs/>
      <w:lang w:val="en-US"/>
    </w:rPr>
  </w:style>
  <w:style w:type="character" w:customStyle="1" w:styleId="CommentSubjectChar">
    <w:name w:val="Comment Subject Char"/>
    <w:basedOn w:val="CommentTextChar"/>
    <w:link w:val="CommentSubject"/>
    <w:uiPriority w:val="99"/>
    <w:semiHidden/>
    <w:rsid w:val="001865D3"/>
    <w:rPr>
      <w:rFonts w:ascii="Times New Roman" w:eastAsia="Calibri" w:hAnsi="Times New Roman" w:cs="Times New Roman"/>
      <w:b/>
      <w:bCs/>
      <w:sz w:val="20"/>
      <w:szCs w:val="20"/>
      <w:lang w:val="de-DE"/>
    </w:rPr>
  </w:style>
  <w:style w:type="character" w:customStyle="1" w:styleId="Heading2Char">
    <w:name w:val="Heading 2 Char"/>
    <w:basedOn w:val="DefaultParagraphFont"/>
    <w:link w:val="Heading2"/>
    <w:uiPriority w:val="9"/>
    <w:rsid w:val="00043D36"/>
    <w:rPr>
      <w:rFonts w:ascii="Times New Roman" w:eastAsiaTheme="majorEastAsia" w:hAnsi="Times New Roman" w:cs="Times New Roman"/>
      <w:bCs/>
      <w:sz w:val="24"/>
      <w:szCs w:val="24"/>
    </w:rPr>
  </w:style>
  <w:style w:type="paragraph" w:customStyle="1" w:styleId="Default">
    <w:name w:val="Default"/>
    <w:rsid w:val="007B50B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11">
    <w:name w:val="Plain Table 11"/>
    <w:basedOn w:val="TableNormal"/>
    <w:uiPriority w:val="41"/>
    <w:rsid w:val="007B50B3"/>
    <w:pPr>
      <w:spacing w:after="0" w:line="240" w:lineRule="auto"/>
    </w:pPr>
    <w:rPr>
      <w:sz w:val="24"/>
      <w:szCs w:val="24"/>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TableFootnote">
    <w:name w:val="C-Table Footnote"/>
    <w:next w:val="Normal"/>
    <w:rsid w:val="007B50B3"/>
    <w:pPr>
      <w:tabs>
        <w:tab w:val="left" w:pos="144"/>
      </w:tabs>
      <w:spacing w:after="0" w:line="240" w:lineRule="auto"/>
      <w:ind w:left="144" w:hanging="144"/>
    </w:pPr>
    <w:rPr>
      <w:rFonts w:ascii="Times New Roman" w:eastAsia="Times New Roman" w:hAnsi="Times New Roman" w:cs="Arial"/>
      <w:sz w:val="20"/>
      <w:szCs w:val="20"/>
    </w:rPr>
  </w:style>
  <w:style w:type="paragraph" w:styleId="TOC1">
    <w:name w:val="toc 1"/>
    <w:basedOn w:val="Normal"/>
    <w:next w:val="Normal"/>
    <w:autoRedefine/>
    <w:uiPriority w:val="39"/>
    <w:unhideWhenUsed/>
    <w:rsid w:val="0090004D"/>
    <w:pPr>
      <w:tabs>
        <w:tab w:val="right" w:leader="dot" w:pos="9350"/>
      </w:tabs>
      <w:spacing w:after="100"/>
    </w:pPr>
  </w:style>
  <w:style w:type="character" w:styleId="Hyperlink">
    <w:name w:val="Hyperlink"/>
    <w:basedOn w:val="DefaultParagraphFont"/>
    <w:uiPriority w:val="99"/>
    <w:unhideWhenUsed/>
    <w:rsid w:val="00215935"/>
    <w:rPr>
      <w:color w:val="0000FF" w:themeColor="hyperlink"/>
      <w:u w:val="single"/>
    </w:rPr>
  </w:style>
  <w:style w:type="paragraph" w:styleId="NormalWeb">
    <w:name w:val="Normal (Web)"/>
    <w:basedOn w:val="Normal"/>
    <w:uiPriority w:val="99"/>
    <w:unhideWhenUsed/>
    <w:rsid w:val="0035357E"/>
    <w:pPr>
      <w:spacing w:before="100" w:beforeAutospacing="1" w:after="100" w:afterAutospacing="1" w:line="240" w:lineRule="auto"/>
    </w:pPr>
    <w:rPr>
      <w:rFonts w:eastAsia="Times New Roman"/>
    </w:rPr>
  </w:style>
  <w:style w:type="paragraph" w:styleId="TOC2">
    <w:name w:val="toc 2"/>
    <w:basedOn w:val="Normal"/>
    <w:next w:val="Normal"/>
    <w:autoRedefine/>
    <w:uiPriority w:val="39"/>
    <w:unhideWhenUsed/>
    <w:rsid w:val="003228F6"/>
    <w:pPr>
      <w:spacing w:after="100"/>
      <w:ind w:left="240"/>
    </w:pPr>
  </w:style>
  <w:style w:type="paragraph" w:styleId="Revision">
    <w:name w:val="Revision"/>
    <w:hidden/>
    <w:uiPriority w:val="99"/>
    <w:semiHidden/>
    <w:rsid w:val="00E6494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20276">
      <w:bodyDiv w:val="1"/>
      <w:marLeft w:val="0"/>
      <w:marRight w:val="0"/>
      <w:marTop w:val="0"/>
      <w:marBottom w:val="0"/>
      <w:divBdr>
        <w:top w:val="none" w:sz="0" w:space="0" w:color="auto"/>
        <w:left w:val="none" w:sz="0" w:space="0" w:color="auto"/>
        <w:bottom w:val="none" w:sz="0" w:space="0" w:color="auto"/>
        <w:right w:val="none" w:sz="0" w:space="0" w:color="auto"/>
      </w:divBdr>
    </w:div>
    <w:div w:id="181171902">
      <w:bodyDiv w:val="1"/>
      <w:marLeft w:val="0"/>
      <w:marRight w:val="0"/>
      <w:marTop w:val="0"/>
      <w:marBottom w:val="0"/>
      <w:divBdr>
        <w:top w:val="none" w:sz="0" w:space="0" w:color="auto"/>
        <w:left w:val="none" w:sz="0" w:space="0" w:color="auto"/>
        <w:bottom w:val="none" w:sz="0" w:space="0" w:color="auto"/>
        <w:right w:val="none" w:sz="0" w:space="0" w:color="auto"/>
      </w:divBdr>
      <w:divsChild>
        <w:div w:id="994407222">
          <w:marLeft w:val="0"/>
          <w:marRight w:val="0"/>
          <w:marTop w:val="0"/>
          <w:marBottom w:val="0"/>
          <w:divBdr>
            <w:top w:val="none" w:sz="0" w:space="0" w:color="auto"/>
            <w:left w:val="none" w:sz="0" w:space="0" w:color="auto"/>
            <w:bottom w:val="none" w:sz="0" w:space="0" w:color="auto"/>
            <w:right w:val="none" w:sz="0" w:space="0" w:color="auto"/>
          </w:divBdr>
          <w:divsChild>
            <w:div w:id="364451446">
              <w:marLeft w:val="0"/>
              <w:marRight w:val="0"/>
              <w:marTop w:val="0"/>
              <w:marBottom w:val="0"/>
              <w:divBdr>
                <w:top w:val="none" w:sz="0" w:space="0" w:color="auto"/>
                <w:left w:val="none" w:sz="0" w:space="0" w:color="auto"/>
                <w:bottom w:val="none" w:sz="0" w:space="0" w:color="auto"/>
                <w:right w:val="none" w:sz="0" w:space="0" w:color="auto"/>
              </w:divBdr>
              <w:divsChild>
                <w:div w:id="8729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3071">
      <w:bodyDiv w:val="1"/>
      <w:marLeft w:val="0"/>
      <w:marRight w:val="0"/>
      <w:marTop w:val="0"/>
      <w:marBottom w:val="0"/>
      <w:divBdr>
        <w:top w:val="none" w:sz="0" w:space="0" w:color="auto"/>
        <w:left w:val="none" w:sz="0" w:space="0" w:color="auto"/>
        <w:bottom w:val="none" w:sz="0" w:space="0" w:color="auto"/>
        <w:right w:val="none" w:sz="0" w:space="0" w:color="auto"/>
      </w:divBdr>
      <w:divsChild>
        <w:div w:id="1373966511">
          <w:marLeft w:val="0"/>
          <w:marRight w:val="0"/>
          <w:marTop w:val="0"/>
          <w:marBottom w:val="0"/>
          <w:divBdr>
            <w:top w:val="none" w:sz="0" w:space="0" w:color="auto"/>
            <w:left w:val="none" w:sz="0" w:space="0" w:color="auto"/>
            <w:bottom w:val="none" w:sz="0" w:space="0" w:color="auto"/>
            <w:right w:val="none" w:sz="0" w:space="0" w:color="auto"/>
          </w:divBdr>
          <w:divsChild>
            <w:div w:id="1015038496">
              <w:marLeft w:val="0"/>
              <w:marRight w:val="0"/>
              <w:marTop w:val="0"/>
              <w:marBottom w:val="0"/>
              <w:divBdr>
                <w:top w:val="none" w:sz="0" w:space="0" w:color="auto"/>
                <w:left w:val="none" w:sz="0" w:space="0" w:color="auto"/>
                <w:bottom w:val="none" w:sz="0" w:space="0" w:color="auto"/>
                <w:right w:val="none" w:sz="0" w:space="0" w:color="auto"/>
              </w:divBdr>
              <w:divsChild>
                <w:div w:id="20800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3236">
      <w:bodyDiv w:val="1"/>
      <w:marLeft w:val="0"/>
      <w:marRight w:val="0"/>
      <w:marTop w:val="0"/>
      <w:marBottom w:val="0"/>
      <w:divBdr>
        <w:top w:val="none" w:sz="0" w:space="0" w:color="auto"/>
        <w:left w:val="none" w:sz="0" w:space="0" w:color="auto"/>
        <w:bottom w:val="none" w:sz="0" w:space="0" w:color="auto"/>
        <w:right w:val="none" w:sz="0" w:space="0" w:color="auto"/>
      </w:divBdr>
      <w:divsChild>
        <w:div w:id="1765491040">
          <w:marLeft w:val="0"/>
          <w:marRight w:val="0"/>
          <w:marTop w:val="0"/>
          <w:marBottom w:val="0"/>
          <w:divBdr>
            <w:top w:val="none" w:sz="0" w:space="0" w:color="auto"/>
            <w:left w:val="none" w:sz="0" w:space="0" w:color="auto"/>
            <w:bottom w:val="none" w:sz="0" w:space="0" w:color="auto"/>
            <w:right w:val="none" w:sz="0" w:space="0" w:color="auto"/>
          </w:divBdr>
          <w:divsChild>
            <w:div w:id="2120253365">
              <w:marLeft w:val="0"/>
              <w:marRight w:val="0"/>
              <w:marTop w:val="0"/>
              <w:marBottom w:val="0"/>
              <w:divBdr>
                <w:top w:val="none" w:sz="0" w:space="0" w:color="auto"/>
                <w:left w:val="none" w:sz="0" w:space="0" w:color="auto"/>
                <w:bottom w:val="none" w:sz="0" w:space="0" w:color="auto"/>
                <w:right w:val="none" w:sz="0" w:space="0" w:color="auto"/>
              </w:divBdr>
              <w:divsChild>
                <w:div w:id="18195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5800">
      <w:bodyDiv w:val="1"/>
      <w:marLeft w:val="0"/>
      <w:marRight w:val="0"/>
      <w:marTop w:val="0"/>
      <w:marBottom w:val="0"/>
      <w:divBdr>
        <w:top w:val="none" w:sz="0" w:space="0" w:color="auto"/>
        <w:left w:val="none" w:sz="0" w:space="0" w:color="auto"/>
        <w:bottom w:val="none" w:sz="0" w:space="0" w:color="auto"/>
        <w:right w:val="none" w:sz="0" w:space="0" w:color="auto"/>
      </w:divBdr>
    </w:div>
    <w:div w:id="450631751">
      <w:bodyDiv w:val="1"/>
      <w:marLeft w:val="0"/>
      <w:marRight w:val="0"/>
      <w:marTop w:val="0"/>
      <w:marBottom w:val="0"/>
      <w:divBdr>
        <w:top w:val="none" w:sz="0" w:space="0" w:color="auto"/>
        <w:left w:val="none" w:sz="0" w:space="0" w:color="auto"/>
        <w:bottom w:val="none" w:sz="0" w:space="0" w:color="auto"/>
        <w:right w:val="none" w:sz="0" w:space="0" w:color="auto"/>
      </w:divBdr>
    </w:div>
    <w:div w:id="723329388">
      <w:bodyDiv w:val="1"/>
      <w:marLeft w:val="0"/>
      <w:marRight w:val="0"/>
      <w:marTop w:val="0"/>
      <w:marBottom w:val="0"/>
      <w:divBdr>
        <w:top w:val="none" w:sz="0" w:space="0" w:color="auto"/>
        <w:left w:val="none" w:sz="0" w:space="0" w:color="auto"/>
        <w:bottom w:val="none" w:sz="0" w:space="0" w:color="auto"/>
        <w:right w:val="none" w:sz="0" w:space="0" w:color="auto"/>
      </w:divBdr>
    </w:div>
    <w:div w:id="969550907">
      <w:bodyDiv w:val="1"/>
      <w:marLeft w:val="0"/>
      <w:marRight w:val="0"/>
      <w:marTop w:val="0"/>
      <w:marBottom w:val="0"/>
      <w:divBdr>
        <w:top w:val="none" w:sz="0" w:space="0" w:color="auto"/>
        <w:left w:val="none" w:sz="0" w:space="0" w:color="auto"/>
        <w:bottom w:val="none" w:sz="0" w:space="0" w:color="auto"/>
        <w:right w:val="none" w:sz="0" w:space="0" w:color="auto"/>
      </w:divBdr>
      <w:divsChild>
        <w:div w:id="1749577113">
          <w:marLeft w:val="0"/>
          <w:marRight w:val="0"/>
          <w:marTop w:val="0"/>
          <w:marBottom w:val="0"/>
          <w:divBdr>
            <w:top w:val="none" w:sz="0" w:space="0" w:color="auto"/>
            <w:left w:val="none" w:sz="0" w:space="0" w:color="auto"/>
            <w:bottom w:val="none" w:sz="0" w:space="0" w:color="auto"/>
            <w:right w:val="none" w:sz="0" w:space="0" w:color="auto"/>
          </w:divBdr>
          <w:divsChild>
            <w:div w:id="407114272">
              <w:marLeft w:val="0"/>
              <w:marRight w:val="0"/>
              <w:marTop w:val="0"/>
              <w:marBottom w:val="0"/>
              <w:divBdr>
                <w:top w:val="none" w:sz="0" w:space="0" w:color="auto"/>
                <w:left w:val="none" w:sz="0" w:space="0" w:color="auto"/>
                <w:bottom w:val="none" w:sz="0" w:space="0" w:color="auto"/>
                <w:right w:val="none" w:sz="0" w:space="0" w:color="auto"/>
              </w:divBdr>
              <w:divsChild>
                <w:div w:id="21297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5587">
      <w:bodyDiv w:val="1"/>
      <w:marLeft w:val="0"/>
      <w:marRight w:val="0"/>
      <w:marTop w:val="0"/>
      <w:marBottom w:val="0"/>
      <w:divBdr>
        <w:top w:val="none" w:sz="0" w:space="0" w:color="auto"/>
        <w:left w:val="none" w:sz="0" w:space="0" w:color="auto"/>
        <w:bottom w:val="none" w:sz="0" w:space="0" w:color="auto"/>
        <w:right w:val="none" w:sz="0" w:space="0" w:color="auto"/>
      </w:divBdr>
    </w:div>
    <w:div w:id="982271421">
      <w:bodyDiv w:val="1"/>
      <w:marLeft w:val="0"/>
      <w:marRight w:val="0"/>
      <w:marTop w:val="0"/>
      <w:marBottom w:val="0"/>
      <w:divBdr>
        <w:top w:val="none" w:sz="0" w:space="0" w:color="auto"/>
        <w:left w:val="none" w:sz="0" w:space="0" w:color="auto"/>
        <w:bottom w:val="none" w:sz="0" w:space="0" w:color="auto"/>
        <w:right w:val="none" w:sz="0" w:space="0" w:color="auto"/>
      </w:divBdr>
    </w:div>
    <w:div w:id="1429958858">
      <w:bodyDiv w:val="1"/>
      <w:marLeft w:val="0"/>
      <w:marRight w:val="0"/>
      <w:marTop w:val="0"/>
      <w:marBottom w:val="0"/>
      <w:divBdr>
        <w:top w:val="none" w:sz="0" w:space="0" w:color="auto"/>
        <w:left w:val="none" w:sz="0" w:space="0" w:color="auto"/>
        <w:bottom w:val="none" w:sz="0" w:space="0" w:color="auto"/>
        <w:right w:val="none" w:sz="0" w:space="0" w:color="auto"/>
      </w:divBdr>
    </w:div>
    <w:div w:id="1475872787">
      <w:bodyDiv w:val="1"/>
      <w:marLeft w:val="0"/>
      <w:marRight w:val="0"/>
      <w:marTop w:val="0"/>
      <w:marBottom w:val="0"/>
      <w:divBdr>
        <w:top w:val="none" w:sz="0" w:space="0" w:color="auto"/>
        <w:left w:val="none" w:sz="0" w:space="0" w:color="auto"/>
        <w:bottom w:val="none" w:sz="0" w:space="0" w:color="auto"/>
        <w:right w:val="none" w:sz="0" w:space="0" w:color="auto"/>
      </w:divBdr>
    </w:div>
    <w:div w:id="1622691630">
      <w:bodyDiv w:val="1"/>
      <w:marLeft w:val="0"/>
      <w:marRight w:val="0"/>
      <w:marTop w:val="0"/>
      <w:marBottom w:val="0"/>
      <w:divBdr>
        <w:top w:val="none" w:sz="0" w:space="0" w:color="auto"/>
        <w:left w:val="none" w:sz="0" w:space="0" w:color="auto"/>
        <w:bottom w:val="none" w:sz="0" w:space="0" w:color="auto"/>
        <w:right w:val="none" w:sz="0" w:space="0" w:color="auto"/>
      </w:divBdr>
      <w:divsChild>
        <w:div w:id="281108439">
          <w:marLeft w:val="0"/>
          <w:marRight w:val="0"/>
          <w:marTop w:val="0"/>
          <w:marBottom w:val="0"/>
          <w:divBdr>
            <w:top w:val="none" w:sz="0" w:space="0" w:color="auto"/>
            <w:left w:val="none" w:sz="0" w:space="0" w:color="auto"/>
            <w:bottom w:val="none" w:sz="0" w:space="0" w:color="auto"/>
            <w:right w:val="none" w:sz="0" w:space="0" w:color="auto"/>
          </w:divBdr>
          <w:divsChild>
            <w:div w:id="1717267841">
              <w:marLeft w:val="0"/>
              <w:marRight w:val="0"/>
              <w:marTop w:val="0"/>
              <w:marBottom w:val="0"/>
              <w:divBdr>
                <w:top w:val="none" w:sz="0" w:space="0" w:color="auto"/>
                <w:left w:val="none" w:sz="0" w:space="0" w:color="auto"/>
                <w:bottom w:val="none" w:sz="0" w:space="0" w:color="auto"/>
                <w:right w:val="none" w:sz="0" w:space="0" w:color="auto"/>
              </w:divBdr>
              <w:divsChild>
                <w:div w:id="12988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23FF657-9652-4795-9F20-9E713ADC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2311</Words>
  <Characters>13175</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TMorwick</dc:creator>
  <cp:lastModifiedBy>Di Pilato,Mauro</cp:lastModifiedBy>
  <cp:revision>6</cp:revision>
  <dcterms:created xsi:type="dcterms:W3CDTF">2022-07-13T03:11:00Z</dcterms:created>
  <dcterms:modified xsi:type="dcterms:W3CDTF">2022-11-14T16:37:00Z</dcterms:modified>
</cp:coreProperties>
</file>